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380666982"/>
        <w:docPartObj>
          <w:docPartGallery w:val="Cover Pages"/>
          <w:docPartUnique/>
        </w:docPartObj>
      </w:sdtPr>
      <w:sdtEndPr>
        <w:rPr>
          <w:rFonts w:ascii="Calibri" w:eastAsia="Times New Roman" w:hAnsi="Calibri" w:cs="Times New Roman"/>
          <w:sz w:val="22"/>
          <w:szCs w:val="22"/>
        </w:rPr>
      </w:sdtEndPr>
      <w:sdtContent>
        <w:tbl>
          <w:tblPr>
            <w:tblpPr w:leftFromText="187" w:rightFromText="187" w:vertAnchor="page" w:horzAnchor="page" w:tblpXSpec="center" w:tblpYSpec="center"/>
            <w:tblW w:w="5000" w:type="pct"/>
            <w:tblLayout w:type="fixed"/>
            <w:tblCellMar>
              <w:top w:w="216" w:type="dxa"/>
              <w:left w:w="216" w:type="dxa"/>
              <w:bottom w:w="216" w:type="dxa"/>
              <w:right w:w="216" w:type="dxa"/>
            </w:tblCellMar>
            <w:tblLook w:val="04A0"/>
          </w:tblPr>
          <w:tblGrid>
            <w:gridCol w:w="5088"/>
            <w:gridCol w:w="2931"/>
            <w:gridCol w:w="2493"/>
          </w:tblGrid>
          <w:tr w:rsidR="00254779" w:rsidTr="00254779">
            <w:sdt>
              <w:sdtPr>
                <w:rPr>
                  <w:rFonts w:asciiTheme="majorHAnsi" w:eastAsiaTheme="majorEastAsia" w:hAnsiTheme="majorHAnsi" w:cstheme="majorBidi"/>
                  <w:sz w:val="72"/>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rPr>
                  <w:rStyle w:val="Heading1Char"/>
                  <w:rFonts w:ascii="Tw Cen MT" w:hAnsi="Tw Cen MT"/>
                </w:rPr>
              </w:sdtEndPr>
              <w:sdtContent>
                <w:tc>
                  <w:tcPr>
                    <w:tcW w:w="8586" w:type="dxa"/>
                    <w:gridSpan w:val="2"/>
                    <w:tcBorders>
                      <w:bottom w:val="single" w:sz="18" w:space="0" w:color="808080" w:themeColor="background1" w:themeShade="80"/>
                      <w:right w:val="single" w:sz="18" w:space="0" w:color="808080" w:themeColor="background1" w:themeShade="80"/>
                    </w:tcBorders>
                    <w:vAlign w:val="center"/>
                  </w:tcPr>
                  <w:p w:rsidR="00254779" w:rsidRPr="00254779" w:rsidRDefault="00254779" w:rsidP="0079017D">
                    <w:pPr>
                      <w:pStyle w:val="NoSpacing"/>
                      <w:rPr>
                        <w:rFonts w:asciiTheme="majorHAnsi" w:eastAsiaTheme="majorEastAsia" w:hAnsiTheme="majorHAnsi" w:cstheme="majorBidi"/>
                        <w:sz w:val="72"/>
                        <w:szCs w:val="72"/>
                      </w:rPr>
                    </w:pPr>
                    <w:r w:rsidRPr="00EA2661">
                      <w:rPr>
                        <w:rStyle w:val="Heading1Char"/>
                      </w:rPr>
                      <w:t>The Status of Women in the Middle East and North Africa (</w:t>
                    </w:r>
                    <w:proofErr w:type="spellStart"/>
                    <w:r w:rsidRPr="00EA2661">
                      <w:rPr>
                        <w:rStyle w:val="Heading1Char"/>
                      </w:rPr>
                      <w:t>SWMENA</w:t>
                    </w:r>
                    <w:proofErr w:type="spellEnd"/>
                    <w:r w:rsidRPr="00EA2661">
                      <w:rPr>
                        <w:rStyle w:val="Heading1Char"/>
                      </w:rPr>
                      <w:t>) Project</w:t>
                    </w:r>
                  </w:p>
                </w:tc>
              </w:sdtContent>
            </w:sdt>
            <w:tc>
              <w:tcPr>
                <w:tcW w:w="2646" w:type="dxa"/>
                <w:tcBorders>
                  <w:left w:val="single" w:sz="18" w:space="0" w:color="808080" w:themeColor="background1" w:themeShade="80"/>
                  <w:bottom w:val="single" w:sz="18" w:space="0" w:color="808080" w:themeColor="background1" w:themeShade="80"/>
                </w:tcBorders>
                <w:vAlign w:val="center"/>
              </w:tcPr>
              <w:p w:rsidR="00254779" w:rsidRPr="00254779" w:rsidRDefault="00254779" w:rsidP="0079017D">
                <w:pPr>
                  <w:pStyle w:val="NoSpacing"/>
                  <w:rPr>
                    <w:rFonts w:ascii="Helvetica LT Std" w:eastAsiaTheme="majorEastAsia" w:hAnsi="Helvetica LT Std" w:cstheme="majorBidi"/>
                    <w:sz w:val="36"/>
                    <w:szCs w:val="36"/>
                  </w:rPr>
                </w:pPr>
              </w:p>
              <w:p w:rsidR="00254779" w:rsidRPr="00254779" w:rsidRDefault="006210DF" w:rsidP="0079017D">
                <w:pPr>
                  <w:ind w:firstLine="0"/>
                </w:pPr>
                <w:r>
                  <w:fldChar w:fldCharType="begin"/>
                </w:r>
                <w:r w:rsidR="00254779">
                  <w:instrText xml:space="preserve"> SUBJECT   \* MERGEFORMAT </w:instrText>
                </w:r>
                <w:r>
                  <w:fldChar w:fldCharType="end"/>
                </w:r>
              </w:p>
            </w:tc>
          </w:tr>
          <w:tr w:rsidR="00254779" w:rsidRPr="00385452" w:rsidTr="00E91C1F">
            <w:tc>
              <w:tcPr>
                <w:tcW w:w="11232" w:type="dxa"/>
                <w:gridSpan w:val="3"/>
                <w:tcBorders>
                  <w:bottom w:val="single" w:sz="18" w:space="0" w:color="808080" w:themeColor="background1" w:themeShade="80"/>
                </w:tcBorders>
                <w:shd w:val="clear" w:color="auto" w:fill="808080" w:themeFill="background1" w:themeFillShade="80"/>
                <w:vAlign w:val="center"/>
              </w:tcPr>
              <w:p w:rsidR="00254779" w:rsidRPr="00385452" w:rsidRDefault="006210DF" w:rsidP="009632A3">
                <w:pPr>
                  <w:pStyle w:val="NoSpacing"/>
                  <w:jc w:val="center"/>
                  <w:rPr>
                    <w:rFonts w:ascii="Tw Cen MT" w:eastAsiaTheme="majorEastAsia" w:hAnsi="Tw Cen MT" w:cstheme="majorBidi"/>
                    <w:color w:val="FFFFFF" w:themeColor="background1"/>
                    <w:sz w:val="52"/>
                    <w:szCs w:val="36"/>
                  </w:rPr>
                </w:pPr>
                <w:sdt>
                  <w:sdtPr>
                    <w:rPr>
                      <w:rFonts w:ascii="Tw Cen MT" w:eastAsia="Georgia" w:hAnsi="Tw Cen MT" w:cs="Arial"/>
                      <w:color w:val="FFFFFF" w:themeColor="background1"/>
                      <w:sz w:val="44"/>
                      <w:szCs w:val="56"/>
                      <w:lang w:eastAsia="ja-JP" w:bidi="ar-SA"/>
                    </w:rPr>
                    <w:alias w:val="Subject"/>
                    <w:id w:val="380667129"/>
                    <w:dataBinding w:prefixMappings="xmlns:ns0='http://purl.org/dc/elements/1.1/' xmlns:ns1='http://schemas.openxmlformats.org/package/2006/metadata/core-properties' " w:xpath="/ns1:coreProperties[1]/ns0:subject[1]" w:storeItemID="{6C3C8BC8-F283-45AE-878A-BAB7291924A1}"/>
                    <w:text/>
                  </w:sdtPr>
                  <w:sdtContent>
                    <w:r w:rsidR="00FC755D">
                      <w:rPr>
                        <w:rFonts w:ascii="Tw Cen MT" w:eastAsia="Georgia" w:hAnsi="Tw Cen MT" w:cs="Arial"/>
                        <w:color w:val="FFFFFF" w:themeColor="background1"/>
                        <w:sz w:val="44"/>
                        <w:szCs w:val="56"/>
                        <w:lang w:eastAsia="ja-JP" w:bidi="ar-SA"/>
                      </w:rPr>
                      <w:t xml:space="preserve">Focus on Lebanon | </w:t>
                    </w:r>
                    <w:r w:rsidR="009632A3">
                      <w:rPr>
                        <w:rFonts w:ascii="Tw Cen MT" w:eastAsia="Georgia" w:hAnsi="Tw Cen MT" w:cs="Arial"/>
                        <w:color w:val="FFFFFF" w:themeColor="background1"/>
                        <w:sz w:val="44"/>
                        <w:szCs w:val="56"/>
                        <w:lang w:eastAsia="ja-JP" w:bidi="ar-SA"/>
                      </w:rPr>
                      <w:t xml:space="preserve">Control of Financial Assets          </w:t>
                    </w:r>
                    <w:r w:rsidR="00FC755D">
                      <w:rPr>
                        <w:rFonts w:ascii="Tw Cen MT" w:eastAsia="Georgia" w:hAnsi="Tw Cen MT" w:cs="Arial"/>
                        <w:color w:val="FFFFFF" w:themeColor="background1"/>
                        <w:sz w:val="44"/>
                        <w:szCs w:val="56"/>
                        <w:lang w:eastAsia="ja-JP" w:bidi="ar-SA"/>
                      </w:rPr>
                      <w:t>Topic Brief</w:t>
                    </w:r>
                  </w:sdtContent>
                </w:sdt>
              </w:p>
            </w:tc>
          </w:tr>
          <w:tr w:rsidR="00254779" w:rsidRPr="00385452" w:rsidTr="00254779">
            <w:trPr>
              <w:trHeight w:val="1749"/>
            </w:trPr>
            <w:tc>
              <w:tcPr>
                <w:tcW w:w="5436" w:type="dxa"/>
                <w:tcBorders>
                  <w:top w:val="single" w:sz="18" w:space="0" w:color="808080" w:themeColor="background1" w:themeShade="80"/>
                  <w:right w:val="single" w:sz="18" w:space="0" w:color="808080" w:themeColor="background1" w:themeShade="80"/>
                </w:tcBorders>
                <w:vAlign w:val="center"/>
              </w:tcPr>
              <w:p w:rsidR="00254779" w:rsidRPr="00385452" w:rsidRDefault="006210DF" w:rsidP="0079017D">
                <w:pPr>
                  <w:pStyle w:val="NoSpacing"/>
                  <w:jc w:val="center"/>
                  <w:rPr>
                    <w:rFonts w:ascii="Tw Cen MT" w:hAnsi="Tw Cen MT"/>
                    <w:i/>
                  </w:rPr>
                </w:pPr>
                <w:sdt>
                  <w:sdtPr>
                    <w:rPr>
                      <w:rFonts w:ascii="Tw Cen MT" w:hAnsi="Tw Cen MT"/>
                      <w:i/>
                      <w:color w:val="775F55"/>
                      <w:szCs w:val="20"/>
                      <w:lang w:eastAsia="ja-JP" w:bidi="ar-SA"/>
                    </w:rPr>
                    <w:alias w:val="Abstract"/>
                    <w:id w:val="8276291"/>
                    <w:dataBinding w:prefixMappings="xmlns:ns0='http://schemas.microsoft.com/office/2006/coverPageProps'" w:xpath="/ns0:CoverPageProperties[1]/ns0:Abstract[1]" w:storeItemID="{55AF091B-3C7A-41E3-B477-F2FDAA23CFDA}"/>
                    <w:text/>
                  </w:sdtPr>
                  <w:sdtContent>
                    <w:r w:rsidR="00254779" w:rsidRPr="00385452">
                      <w:rPr>
                        <w:rFonts w:ascii="Tw Cen MT" w:hAnsi="Tw Cen MT"/>
                        <w:i/>
                        <w:color w:val="775F55"/>
                        <w:szCs w:val="20"/>
                        <w:lang w:eastAsia="ja-JP" w:bidi="ar-SA"/>
                      </w:rPr>
                      <w:t xml:space="preserve"> A project by the International Foundation for Electoral Systems (</w:t>
                    </w:r>
                    <w:proofErr w:type="spellStart"/>
                    <w:r w:rsidR="00254779" w:rsidRPr="00385452">
                      <w:rPr>
                        <w:rFonts w:ascii="Tw Cen MT" w:hAnsi="Tw Cen MT"/>
                        <w:i/>
                        <w:color w:val="775F55"/>
                        <w:szCs w:val="20"/>
                        <w:lang w:eastAsia="ja-JP" w:bidi="ar-SA"/>
                      </w:rPr>
                      <w:t>IFES</w:t>
                    </w:r>
                    <w:proofErr w:type="spellEnd"/>
                    <w:r w:rsidR="00254779" w:rsidRPr="00385452">
                      <w:rPr>
                        <w:rFonts w:ascii="Tw Cen MT" w:hAnsi="Tw Cen MT"/>
                        <w:i/>
                        <w:color w:val="775F55"/>
                        <w:szCs w:val="20"/>
                        <w:lang w:eastAsia="ja-JP" w:bidi="ar-SA"/>
                      </w:rPr>
                      <w:t>) and The Institute for Women’s Policy Research (</w:t>
                    </w:r>
                    <w:proofErr w:type="spellStart"/>
                    <w:r w:rsidR="00254779" w:rsidRPr="00385452">
                      <w:rPr>
                        <w:rFonts w:ascii="Tw Cen MT" w:hAnsi="Tw Cen MT"/>
                        <w:i/>
                        <w:color w:val="775F55"/>
                        <w:szCs w:val="20"/>
                        <w:lang w:eastAsia="ja-JP" w:bidi="ar-SA"/>
                      </w:rPr>
                      <w:t>IWPR</w:t>
                    </w:r>
                    <w:proofErr w:type="spellEnd"/>
                    <w:r w:rsidR="00254779" w:rsidRPr="00385452">
                      <w:rPr>
                        <w:rFonts w:ascii="Tw Cen MT" w:hAnsi="Tw Cen MT"/>
                        <w:i/>
                        <w:color w:val="775F55"/>
                        <w:szCs w:val="20"/>
                        <w:lang w:eastAsia="ja-JP" w:bidi="ar-SA"/>
                      </w:rPr>
                      <w:t>) with funding from the Canadian International Development Agency (</w:t>
                    </w:r>
                    <w:proofErr w:type="spellStart"/>
                    <w:r w:rsidR="00254779" w:rsidRPr="00385452">
                      <w:rPr>
                        <w:rFonts w:ascii="Tw Cen MT" w:hAnsi="Tw Cen MT"/>
                        <w:i/>
                        <w:color w:val="775F55"/>
                        <w:szCs w:val="20"/>
                        <w:lang w:eastAsia="ja-JP" w:bidi="ar-SA"/>
                      </w:rPr>
                      <w:t>CIDA</w:t>
                    </w:r>
                    <w:proofErr w:type="spellEnd"/>
                    <w:r w:rsidR="00254779" w:rsidRPr="00385452">
                      <w:rPr>
                        <w:rFonts w:ascii="Tw Cen MT" w:hAnsi="Tw Cen MT"/>
                        <w:i/>
                        <w:color w:val="775F55"/>
                        <w:szCs w:val="20"/>
                        <w:lang w:eastAsia="ja-JP" w:bidi="ar-SA"/>
                      </w:rPr>
                      <w:t xml:space="preserve">) </w:t>
                    </w:r>
                  </w:sdtContent>
                </w:sdt>
              </w:p>
            </w:tc>
            <w:tc>
              <w:tcPr>
                <w:tcW w:w="5796" w:type="dxa"/>
                <w:gridSpan w:val="2"/>
                <w:tcBorders>
                  <w:top w:val="single" w:sz="18" w:space="0" w:color="808080" w:themeColor="background1" w:themeShade="80"/>
                  <w:left w:val="single" w:sz="18" w:space="0" w:color="808080" w:themeColor="background1" w:themeShade="80"/>
                </w:tcBorders>
                <w:vAlign w:val="center"/>
              </w:tcPr>
              <w:p w:rsidR="00254779" w:rsidRPr="00385452" w:rsidRDefault="00E91C1F" w:rsidP="0079017D">
                <w:pPr>
                  <w:pStyle w:val="NoSpacing"/>
                  <w:rPr>
                    <w:rFonts w:ascii="Tw Cen MT" w:eastAsiaTheme="majorEastAsia" w:hAnsi="Tw Cen MT" w:cstheme="majorBidi"/>
                    <w:sz w:val="36"/>
                    <w:szCs w:val="36"/>
                  </w:rPr>
                </w:pPr>
                <w:r w:rsidRPr="00385452">
                  <w:rPr>
                    <w:rFonts w:ascii="Tw Cen MT" w:eastAsiaTheme="majorEastAsia" w:hAnsi="Tw Cen MT" w:cstheme="majorBidi"/>
                    <w:noProof/>
                    <w:sz w:val="36"/>
                    <w:szCs w:val="36"/>
                    <w:lang w:bidi="ar-SA"/>
                  </w:rPr>
                  <w:drawing>
                    <wp:anchor distT="0" distB="0" distL="114300" distR="114300" simplePos="0" relativeHeight="251666432" behindDoc="0" locked="0" layoutInCell="1" allowOverlap="1">
                      <wp:simplePos x="0" y="0"/>
                      <wp:positionH relativeFrom="column">
                        <wp:posOffset>1624330</wp:posOffset>
                      </wp:positionH>
                      <wp:positionV relativeFrom="paragraph">
                        <wp:posOffset>21590</wp:posOffset>
                      </wp:positionV>
                      <wp:extent cx="1621790" cy="1035050"/>
                      <wp:effectExtent l="19050" t="0" r="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1790" cy="1035050"/>
                              </a:xfrm>
                              <a:prstGeom prst="rect">
                                <a:avLst/>
                              </a:prstGeom>
                              <a:solidFill>
                                <a:schemeClr val="bg1">
                                  <a:lumMod val="95000"/>
                                </a:schemeClr>
                              </a:solidFill>
                              <a:ln w="9525">
                                <a:noFill/>
                                <a:miter lim="800000"/>
                                <a:headEnd/>
                                <a:tailEnd/>
                              </a:ln>
                            </pic:spPr>
                          </pic:pic>
                        </a:graphicData>
                      </a:graphic>
                    </wp:anchor>
                  </w:drawing>
                </w:r>
                <w:r w:rsidR="00254779" w:rsidRPr="00385452">
                  <w:rPr>
                    <w:rFonts w:ascii="Tw Cen MT" w:eastAsiaTheme="majorEastAsia" w:hAnsi="Tw Cen MT" w:cstheme="majorBidi"/>
                    <w:noProof/>
                    <w:sz w:val="36"/>
                    <w:szCs w:val="36"/>
                    <w:lang w:bidi="ar-SA"/>
                  </w:rPr>
                  <w:drawing>
                    <wp:anchor distT="0" distB="0" distL="114300" distR="114300" simplePos="0" relativeHeight="251667456" behindDoc="0" locked="0" layoutInCell="1" allowOverlap="1">
                      <wp:simplePos x="0" y="0"/>
                      <wp:positionH relativeFrom="column">
                        <wp:posOffset>360680</wp:posOffset>
                      </wp:positionH>
                      <wp:positionV relativeFrom="paragraph">
                        <wp:posOffset>-45085</wp:posOffset>
                      </wp:positionV>
                      <wp:extent cx="1169670" cy="1169670"/>
                      <wp:effectExtent l="0" t="0" r="0" b="0"/>
                      <wp:wrapNone/>
                      <wp:docPr id="9" name="Picture 1" descr="http://intranet.ifes.org/communications/projects/Logos/Standard%20IFES%20Logo/IFES_logo_blue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ifes.org/communications/projects/Logos/Standard%20IFES%20Logo/IFES_logo_blue_transparent.png"/>
                              <pic:cNvPicPr>
                                <a:picLocks noChangeAspect="1" noChangeArrowheads="1"/>
                              </pic:cNvPicPr>
                            </pic:nvPicPr>
                            <pic:blipFill>
                              <a:blip r:embed="rId13" cstate="print"/>
                              <a:srcRect/>
                              <a:stretch>
                                <a:fillRect/>
                              </a:stretch>
                            </pic:blipFill>
                            <pic:spPr bwMode="auto">
                              <a:xfrm>
                                <a:off x="0" y="0"/>
                                <a:ext cx="1169670" cy="1169670"/>
                              </a:xfrm>
                              <a:prstGeom prst="rect">
                                <a:avLst/>
                              </a:prstGeom>
                              <a:noFill/>
                              <a:ln w="9525">
                                <a:noFill/>
                                <a:miter lim="800000"/>
                                <a:headEnd/>
                                <a:tailEnd/>
                              </a:ln>
                            </pic:spPr>
                          </pic:pic>
                        </a:graphicData>
                      </a:graphic>
                    </wp:anchor>
                  </w:drawing>
                </w:r>
              </w:p>
            </w:tc>
          </w:tr>
        </w:tbl>
        <w:p w:rsidR="00254779" w:rsidRPr="00385452" w:rsidRDefault="00254779" w:rsidP="0079017D">
          <w:pPr>
            <w:ind w:firstLine="0"/>
            <w:rPr>
              <w:rFonts w:ascii="Tw Cen MT" w:hAnsi="Tw Cen MT"/>
            </w:rPr>
          </w:pPr>
        </w:p>
        <w:p w:rsidR="00254779" w:rsidRDefault="00254779" w:rsidP="0079017D">
          <w:pPr>
            <w:ind w:firstLine="0"/>
          </w:pPr>
          <w:r>
            <w:br w:type="page"/>
          </w:r>
        </w:p>
      </w:sdtContent>
    </w:sdt>
    <w:p w:rsidR="00D8441B" w:rsidRDefault="00D8441B" w:rsidP="00706EB4">
      <w:pPr>
        <w:ind w:firstLine="0"/>
        <w:jc w:val="both"/>
        <w:rPr>
          <w:rFonts w:ascii="Tw Cen MT" w:eastAsiaTheme="majorEastAsia" w:hAnsi="Tw Cen MT" w:cstheme="majorBidi"/>
          <w:sz w:val="32"/>
          <w:szCs w:val="36"/>
        </w:rPr>
      </w:pPr>
      <w:r>
        <w:rPr>
          <w:rFonts w:ascii="Tw Cen MT" w:eastAsiaTheme="majorEastAsia" w:hAnsi="Tw Cen MT" w:cstheme="majorBidi"/>
          <w:sz w:val="32"/>
          <w:szCs w:val="36"/>
        </w:rPr>
        <w:lastRenderedPageBreak/>
        <w:t xml:space="preserve">CONTROL OF FINANCIAL ASSETS </w:t>
      </w:r>
    </w:p>
    <w:p w:rsidR="00CA052C" w:rsidRPr="00D71F04" w:rsidRDefault="006760D6" w:rsidP="00CA052C">
      <w:pPr>
        <w:ind w:firstLine="0"/>
        <w:jc w:val="both"/>
        <w:rPr>
          <w:i/>
          <w:iCs/>
          <w:sz w:val="21"/>
          <w:szCs w:val="21"/>
          <w:lang w:bidi="ar-SA"/>
        </w:rPr>
      </w:pPr>
      <w:r w:rsidRPr="00D71F04">
        <w:rPr>
          <w:i/>
          <w:iCs/>
          <w:sz w:val="21"/>
          <w:szCs w:val="21"/>
          <w:lang w:bidi="ar-SA"/>
        </w:rPr>
        <w:t>This topic brief presents key</w:t>
      </w:r>
      <w:r w:rsidR="00CA052C" w:rsidRPr="00D71F04">
        <w:rPr>
          <w:i/>
          <w:iCs/>
          <w:sz w:val="21"/>
          <w:szCs w:val="21"/>
          <w:lang w:bidi="ar-SA"/>
        </w:rPr>
        <w:t xml:space="preserve"> findings about asset control based on data from the </w:t>
      </w:r>
      <w:r w:rsidRPr="00D71F04">
        <w:rPr>
          <w:i/>
          <w:iCs/>
          <w:sz w:val="21"/>
          <w:szCs w:val="21"/>
          <w:lang w:bidi="ar-SA"/>
        </w:rPr>
        <w:t xml:space="preserve">2009 </w:t>
      </w:r>
      <w:proofErr w:type="spellStart"/>
      <w:r w:rsidR="00CA052C" w:rsidRPr="00D71F04">
        <w:rPr>
          <w:i/>
          <w:iCs/>
          <w:sz w:val="21"/>
          <w:szCs w:val="21"/>
          <w:lang w:bidi="ar-SA"/>
        </w:rPr>
        <w:t>SWMENA</w:t>
      </w:r>
      <w:proofErr w:type="spellEnd"/>
      <w:r w:rsidR="00CA052C" w:rsidRPr="00D71F04">
        <w:rPr>
          <w:i/>
          <w:iCs/>
          <w:sz w:val="21"/>
          <w:szCs w:val="21"/>
          <w:lang w:bidi="ar-SA"/>
        </w:rPr>
        <w:t xml:space="preserve"> survey in Lebanon. It includes an analysis of women’s control over assets, focusing on how earnings are spent, financial decision making and control over personal property and financial savings. </w:t>
      </w:r>
    </w:p>
    <w:p w:rsidR="00D8441B" w:rsidRPr="003D19EA" w:rsidRDefault="00D8441B" w:rsidP="00CA052C">
      <w:pPr>
        <w:ind w:firstLine="0"/>
        <w:jc w:val="both"/>
        <w:rPr>
          <w:sz w:val="21"/>
          <w:szCs w:val="21"/>
        </w:rPr>
      </w:pPr>
    </w:p>
    <w:p w:rsidR="00D8441B" w:rsidRDefault="00D8441B" w:rsidP="00D8441B">
      <w:pPr>
        <w:ind w:firstLine="0"/>
        <w:jc w:val="both"/>
        <w:rPr>
          <w:sz w:val="21"/>
          <w:szCs w:val="21"/>
          <w:lang w:bidi="ar-SA"/>
        </w:rPr>
      </w:pPr>
      <w:r>
        <w:rPr>
          <w:rFonts w:ascii="Tw Cen MT" w:eastAsiaTheme="majorEastAsia" w:hAnsi="Tw Cen MT" w:cstheme="majorBidi"/>
          <w:sz w:val="32"/>
          <w:szCs w:val="36"/>
        </w:rPr>
        <w:t>Control over Earned Income</w:t>
      </w:r>
      <w:r>
        <w:rPr>
          <w:sz w:val="21"/>
          <w:szCs w:val="21"/>
          <w:lang w:bidi="ar-SA"/>
        </w:rPr>
        <w:t xml:space="preserve"> </w:t>
      </w:r>
    </w:p>
    <w:p w:rsidR="00A976E1" w:rsidRDefault="00D10C80" w:rsidP="00D71F04">
      <w:pPr>
        <w:ind w:firstLine="0"/>
        <w:jc w:val="both"/>
        <w:rPr>
          <w:sz w:val="21"/>
          <w:szCs w:val="21"/>
        </w:rPr>
      </w:pPr>
      <w:r w:rsidRPr="003D19EA">
        <w:rPr>
          <w:sz w:val="21"/>
          <w:szCs w:val="21"/>
        </w:rPr>
        <w:t xml:space="preserve">The survey asked “When you earn money, what do you do with it?” of women and men who </w:t>
      </w:r>
      <w:r w:rsidR="009F4DA4">
        <w:rPr>
          <w:sz w:val="21"/>
          <w:szCs w:val="21"/>
        </w:rPr>
        <w:t>r</w:t>
      </w:r>
      <w:r w:rsidRPr="003D19EA">
        <w:rPr>
          <w:sz w:val="21"/>
          <w:szCs w:val="21"/>
        </w:rPr>
        <w:t>eported that they were employed</w:t>
      </w:r>
      <w:r w:rsidR="009F7C69">
        <w:rPr>
          <w:sz w:val="21"/>
          <w:szCs w:val="21"/>
        </w:rPr>
        <w:t xml:space="preserve">. </w:t>
      </w:r>
      <w:r w:rsidR="003A54D9">
        <w:rPr>
          <w:sz w:val="21"/>
          <w:szCs w:val="21"/>
        </w:rPr>
        <w:t xml:space="preserve"> </w:t>
      </w:r>
      <w:r w:rsidR="009F7C69">
        <w:rPr>
          <w:sz w:val="21"/>
          <w:szCs w:val="21"/>
        </w:rPr>
        <w:t>Figure 1 summarizes</w:t>
      </w:r>
      <w:r w:rsidRPr="003D19EA">
        <w:rPr>
          <w:sz w:val="21"/>
          <w:szCs w:val="21"/>
        </w:rPr>
        <w:t xml:space="preserve"> the results for men and women.</w:t>
      </w:r>
    </w:p>
    <w:p w:rsidR="000564A3" w:rsidRDefault="00E26085" w:rsidP="000564A3">
      <w:pPr>
        <w:ind w:firstLine="0"/>
      </w:pPr>
      <w:r>
        <w:rPr>
          <w:noProof/>
          <w:lang w:bidi="ar-SA"/>
        </w:rPr>
        <w:drawing>
          <wp:anchor distT="0" distB="0" distL="114300" distR="114300" simplePos="0" relativeHeight="251760640" behindDoc="0" locked="0" layoutInCell="1" allowOverlap="1">
            <wp:simplePos x="0" y="0"/>
            <wp:positionH relativeFrom="margin">
              <wp:align>right</wp:align>
            </wp:positionH>
            <wp:positionV relativeFrom="paragraph">
              <wp:posOffset>83185</wp:posOffset>
            </wp:positionV>
            <wp:extent cx="4043045" cy="2766695"/>
            <wp:effectExtent l="19050" t="0" r="14605"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0564A3" w:rsidRDefault="00D10C80" w:rsidP="000C3A19">
      <w:pPr>
        <w:pStyle w:val="ListParagraph"/>
        <w:jc w:val="both"/>
      </w:pPr>
      <w:r w:rsidRPr="009F4DA4">
        <w:t>Four in ten women report that their earned income is kept for personal use, but nearly half (49%) spend it on their family or children.</w:t>
      </w:r>
    </w:p>
    <w:p w:rsidR="00A969A5" w:rsidRDefault="00A969A5" w:rsidP="00A969A5">
      <w:pPr>
        <w:pStyle w:val="ListParagraph"/>
        <w:numPr>
          <w:ilvl w:val="0"/>
          <w:numId w:val="0"/>
        </w:numPr>
        <w:ind w:left="360"/>
        <w:jc w:val="both"/>
      </w:pPr>
    </w:p>
    <w:p w:rsidR="00D10C80" w:rsidRPr="003D19EA" w:rsidRDefault="00D10C80" w:rsidP="00F40B53">
      <w:pPr>
        <w:pStyle w:val="ListParagraph"/>
        <w:jc w:val="both"/>
      </w:pPr>
      <w:r w:rsidRPr="003D19EA">
        <w:t xml:space="preserve">Few workers report that their earnings </w:t>
      </w:r>
      <w:r w:rsidR="00D454C5" w:rsidRPr="003D19EA">
        <w:t>are deposited into a bank as savings</w:t>
      </w:r>
      <w:r w:rsidR="00F40B53">
        <w:t>.</w:t>
      </w:r>
    </w:p>
    <w:p w:rsidR="002A7A0F" w:rsidRDefault="002A7A0F" w:rsidP="00322515">
      <w:pPr>
        <w:spacing w:after="120" w:line="264" w:lineRule="auto"/>
        <w:ind w:firstLine="0"/>
        <w:jc w:val="both"/>
        <w:rPr>
          <w:sz w:val="21"/>
          <w:szCs w:val="21"/>
        </w:rPr>
      </w:pPr>
    </w:p>
    <w:p w:rsidR="00AA6670" w:rsidRPr="003D19EA" w:rsidRDefault="00D454C5" w:rsidP="00322515">
      <w:pPr>
        <w:spacing w:after="120" w:line="264" w:lineRule="auto"/>
        <w:ind w:firstLine="0"/>
        <w:jc w:val="both"/>
        <w:rPr>
          <w:sz w:val="21"/>
          <w:szCs w:val="21"/>
        </w:rPr>
      </w:pPr>
      <w:r w:rsidRPr="003D19EA">
        <w:rPr>
          <w:sz w:val="21"/>
          <w:szCs w:val="21"/>
        </w:rPr>
        <w:t>Figures 2 and 3 look at how women who work for pay manage their earned income</w:t>
      </w:r>
      <w:r w:rsidR="009F7C69">
        <w:rPr>
          <w:sz w:val="21"/>
          <w:szCs w:val="21"/>
        </w:rPr>
        <w:t>,</w:t>
      </w:r>
      <w:r w:rsidRPr="003D19EA">
        <w:rPr>
          <w:sz w:val="21"/>
          <w:szCs w:val="21"/>
        </w:rPr>
        <w:t xml:space="preserve"> by their educational attainment and the amount of their earnings.</w:t>
      </w:r>
      <w:r w:rsidR="009F090E" w:rsidRPr="003D19EA">
        <w:rPr>
          <w:sz w:val="21"/>
          <w:szCs w:val="21"/>
        </w:rPr>
        <w:t xml:space="preserve">  </w:t>
      </w:r>
      <w:r w:rsidR="00CE6587">
        <w:rPr>
          <w:sz w:val="21"/>
          <w:szCs w:val="21"/>
        </w:rPr>
        <w:br/>
      </w:r>
      <w:r w:rsidR="00CE6587">
        <w:rPr>
          <w:sz w:val="21"/>
          <w:szCs w:val="21"/>
        </w:rPr>
        <w:br/>
      </w:r>
    </w:p>
    <w:p w:rsidR="00116230" w:rsidRPr="003D19EA" w:rsidRDefault="009F090E" w:rsidP="000C3A19">
      <w:pPr>
        <w:spacing w:after="120" w:line="264" w:lineRule="auto"/>
        <w:ind w:firstLine="0"/>
        <w:jc w:val="both"/>
        <w:rPr>
          <w:sz w:val="21"/>
          <w:szCs w:val="21"/>
        </w:rPr>
      </w:pPr>
      <w:r w:rsidRPr="003D19EA">
        <w:rPr>
          <w:sz w:val="21"/>
          <w:szCs w:val="21"/>
        </w:rPr>
        <w:t xml:space="preserve">As </w:t>
      </w:r>
      <w:r w:rsidR="00DE5CB4" w:rsidRPr="003D19EA">
        <w:rPr>
          <w:sz w:val="21"/>
          <w:szCs w:val="21"/>
        </w:rPr>
        <w:t xml:space="preserve">levels of </w:t>
      </w:r>
      <w:r w:rsidRPr="003D19EA">
        <w:rPr>
          <w:sz w:val="21"/>
          <w:szCs w:val="21"/>
        </w:rPr>
        <w:t>educational attainment increase, so d</w:t>
      </w:r>
      <w:r w:rsidR="009F7C69">
        <w:rPr>
          <w:sz w:val="21"/>
          <w:szCs w:val="21"/>
        </w:rPr>
        <w:t>oes the percentage of women who</w:t>
      </w:r>
      <w:r w:rsidRPr="003D19EA">
        <w:rPr>
          <w:sz w:val="21"/>
          <w:szCs w:val="21"/>
        </w:rPr>
        <w:t xml:space="preserve"> keep their earnings for personal</w:t>
      </w:r>
      <w:r w:rsidR="00DE5CB4" w:rsidRPr="003D19EA">
        <w:rPr>
          <w:sz w:val="21"/>
          <w:szCs w:val="21"/>
        </w:rPr>
        <w:t xml:space="preserve"> use.  The opposite is true for money spent on family and children.  Fewer wome</w:t>
      </w:r>
      <w:r w:rsidR="003A54D9">
        <w:rPr>
          <w:sz w:val="21"/>
          <w:szCs w:val="21"/>
        </w:rPr>
        <w:t>n with a university</w:t>
      </w:r>
      <w:r w:rsidR="009F7C69">
        <w:rPr>
          <w:sz w:val="21"/>
          <w:szCs w:val="21"/>
        </w:rPr>
        <w:t xml:space="preserve"> degree or higher </w:t>
      </w:r>
      <w:r w:rsidR="00DE5CB4" w:rsidRPr="003D19EA">
        <w:rPr>
          <w:sz w:val="21"/>
          <w:szCs w:val="21"/>
        </w:rPr>
        <w:t xml:space="preserve">spend their earnings on their family and children compared with women </w:t>
      </w:r>
      <w:r w:rsidR="009F7C69">
        <w:rPr>
          <w:sz w:val="21"/>
          <w:szCs w:val="21"/>
        </w:rPr>
        <w:t>who have lower levels of education.</w:t>
      </w:r>
      <w:r w:rsidR="00DE5CB4" w:rsidRPr="003D19EA">
        <w:rPr>
          <w:sz w:val="21"/>
          <w:szCs w:val="21"/>
        </w:rPr>
        <w:t xml:space="preserve"> </w:t>
      </w:r>
      <w:r w:rsidRPr="003D19EA">
        <w:rPr>
          <w:sz w:val="21"/>
          <w:szCs w:val="21"/>
        </w:rPr>
        <w:t xml:space="preserve"> </w:t>
      </w:r>
    </w:p>
    <w:p w:rsidR="00D454C5" w:rsidRDefault="009F090E" w:rsidP="000C3A19">
      <w:pPr>
        <w:pStyle w:val="ListParagraph"/>
        <w:jc w:val="both"/>
      </w:pPr>
      <w:r w:rsidRPr="003D19EA">
        <w:t xml:space="preserve">Forty-five percent of women with a </w:t>
      </w:r>
      <w:r w:rsidR="003A54D9">
        <w:t>university</w:t>
      </w:r>
      <w:r w:rsidRPr="003D19EA">
        <w:t xml:space="preserve"> degree or higher kept their earnings for personal use</w:t>
      </w:r>
      <w:r w:rsidR="00DE5CB4" w:rsidRPr="003D19EA">
        <w:t>, compared to 37% of women with a primary education and 16% of women with less than a primary education.</w:t>
      </w:r>
    </w:p>
    <w:p w:rsidR="00167EB1" w:rsidRPr="003D19EA" w:rsidRDefault="00167EB1" w:rsidP="00167EB1">
      <w:pPr>
        <w:pStyle w:val="ListParagraph"/>
        <w:numPr>
          <w:ilvl w:val="0"/>
          <w:numId w:val="0"/>
        </w:numPr>
        <w:ind w:left="360"/>
        <w:jc w:val="both"/>
      </w:pPr>
    </w:p>
    <w:p w:rsidR="009F6DF5" w:rsidRDefault="00DE5CB4" w:rsidP="000C3A19">
      <w:pPr>
        <w:pStyle w:val="ListParagraph"/>
        <w:jc w:val="both"/>
      </w:pPr>
      <w:r w:rsidRPr="003D19EA">
        <w:t>Seventy-four percent of women with a primary education put their earnings towards their family</w:t>
      </w:r>
      <w:r w:rsidR="009F6DF5" w:rsidRPr="003D19EA">
        <w:t xml:space="preserve"> and children, while 42% of women with a </w:t>
      </w:r>
      <w:r w:rsidR="003A54D9">
        <w:t xml:space="preserve">university </w:t>
      </w:r>
      <w:r w:rsidR="009F6DF5" w:rsidRPr="003D19EA">
        <w:t>degree or more did the same.</w:t>
      </w:r>
    </w:p>
    <w:p w:rsidR="00167EB1" w:rsidRDefault="00167EB1" w:rsidP="00167EB1">
      <w:pPr>
        <w:pStyle w:val="ListParagraph"/>
        <w:numPr>
          <w:ilvl w:val="0"/>
          <w:numId w:val="0"/>
        </w:numPr>
        <w:ind w:left="360"/>
      </w:pPr>
    </w:p>
    <w:p w:rsidR="000564A3" w:rsidRDefault="006210DF" w:rsidP="000C3A19">
      <w:pPr>
        <w:pStyle w:val="ListParagraph"/>
        <w:jc w:val="both"/>
      </w:pPr>
      <w:r>
        <w:rPr>
          <w:noProof/>
          <w:lang w:bidi="ar-SA"/>
        </w:rPr>
        <w:pict>
          <v:shapetype id="_x0000_t202" coordsize="21600,21600" o:spt="202" path="m,l,21600r21600,l21600,xe">
            <v:stroke joinstyle="miter"/>
            <v:path gradientshapeok="t" o:connecttype="rect"/>
          </v:shapetype>
          <v:shape id="_x0000_s1100" type="#_x0000_t202" style="position:absolute;left:0;text-align:left;margin-left:-232.95pt;margin-top:-5.35pt;width:57.15pt;height:21pt;z-index:251743232;mso-width-relative:margin;mso-height-relative:margin" stroked="f">
            <v:textbox>
              <w:txbxContent>
                <w:p w:rsidR="00036D01" w:rsidRPr="00A976E1" w:rsidRDefault="00036D01" w:rsidP="000564A3">
                  <w:pPr>
                    <w:ind w:firstLine="0"/>
                  </w:pPr>
                  <w:r>
                    <w:t>Figure 1</w:t>
                  </w:r>
                </w:p>
              </w:txbxContent>
            </v:textbox>
          </v:shape>
        </w:pict>
      </w:r>
      <w:r w:rsidR="000564A3" w:rsidRPr="003D19EA">
        <w:t xml:space="preserve">Eight percent of women with a </w:t>
      </w:r>
      <w:r w:rsidR="000564A3">
        <w:t>university</w:t>
      </w:r>
      <w:r w:rsidR="000564A3" w:rsidRPr="003D19EA">
        <w:t xml:space="preserve"> degree or more put their earnings in a savings account, compared to only 2% of women with both primary and intermediate educations and 5% of women with a secondary education.</w:t>
      </w:r>
    </w:p>
    <w:p w:rsidR="00167EB1" w:rsidRDefault="00167EB1" w:rsidP="00167EB1">
      <w:pPr>
        <w:pStyle w:val="ListParagraph"/>
        <w:numPr>
          <w:ilvl w:val="0"/>
          <w:numId w:val="0"/>
        </w:numPr>
        <w:ind w:left="360"/>
      </w:pPr>
    </w:p>
    <w:p w:rsidR="000564A3" w:rsidRPr="003D19EA" w:rsidRDefault="000564A3" w:rsidP="000C3A19">
      <w:pPr>
        <w:pStyle w:val="ListParagraph"/>
        <w:jc w:val="both"/>
      </w:pPr>
      <w:r w:rsidRPr="003D19EA">
        <w:t xml:space="preserve">Twice as many women with less than a primary education give their earnings to a spouse or parent to manage than women with a </w:t>
      </w:r>
      <w:r>
        <w:t>university</w:t>
      </w:r>
      <w:r w:rsidRPr="003D19EA">
        <w:t xml:space="preserve"> degree or more (10 % and 5% respectively).</w:t>
      </w:r>
    </w:p>
    <w:p w:rsidR="000564A3" w:rsidRDefault="000564A3" w:rsidP="000564A3">
      <w:pPr>
        <w:pStyle w:val="ListParagraph"/>
        <w:numPr>
          <w:ilvl w:val="0"/>
          <w:numId w:val="0"/>
        </w:numPr>
        <w:ind w:left="360"/>
      </w:pPr>
    </w:p>
    <w:p w:rsidR="00F40B53" w:rsidRDefault="00F40B53">
      <w:pPr>
        <w:ind w:firstLine="0"/>
        <w:rPr>
          <w:sz w:val="21"/>
          <w:szCs w:val="21"/>
        </w:rPr>
      </w:pPr>
      <w:r>
        <w:br w:type="page"/>
      </w:r>
    </w:p>
    <w:p w:rsidR="000564A3" w:rsidRPr="003D19EA" w:rsidRDefault="003F3C43" w:rsidP="000564A3">
      <w:pPr>
        <w:pStyle w:val="ListParagraph"/>
        <w:numPr>
          <w:ilvl w:val="0"/>
          <w:numId w:val="0"/>
        </w:numPr>
        <w:ind w:left="360"/>
      </w:pPr>
      <w:r>
        <w:rPr>
          <w:noProof/>
          <w:lang w:bidi="ar-SA"/>
        </w:rPr>
        <w:lastRenderedPageBreak/>
        <w:drawing>
          <wp:anchor distT="0" distB="0" distL="114300" distR="114300" simplePos="0" relativeHeight="251750400" behindDoc="0" locked="0" layoutInCell="1" allowOverlap="1">
            <wp:simplePos x="0" y="0"/>
            <wp:positionH relativeFrom="column">
              <wp:posOffset>3611880</wp:posOffset>
            </wp:positionH>
            <wp:positionV relativeFrom="paragraph">
              <wp:posOffset>-250190</wp:posOffset>
            </wp:positionV>
            <wp:extent cx="2950210" cy="4295775"/>
            <wp:effectExtent l="19050" t="0" r="21590"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noProof/>
          <w:lang w:bidi="ar-SA"/>
        </w:rPr>
        <w:drawing>
          <wp:anchor distT="0" distB="0" distL="114300" distR="114300" simplePos="0" relativeHeight="251749376" behindDoc="0" locked="0" layoutInCell="1" allowOverlap="1">
            <wp:simplePos x="0" y="0"/>
            <wp:positionH relativeFrom="column">
              <wp:posOffset>-2540</wp:posOffset>
            </wp:positionH>
            <wp:positionV relativeFrom="paragraph">
              <wp:posOffset>-250190</wp:posOffset>
            </wp:positionV>
            <wp:extent cx="3565525" cy="4295775"/>
            <wp:effectExtent l="19050" t="0" r="15875"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154BE1" w:rsidRDefault="00154BE1" w:rsidP="003F3C43">
      <w:pPr>
        <w:pStyle w:val="ListParagraph"/>
        <w:numPr>
          <w:ilvl w:val="0"/>
          <w:numId w:val="0"/>
        </w:numPr>
      </w:pPr>
      <w:r w:rsidRPr="003D19EA">
        <w:t xml:space="preserve">As women’s monthly income increases, so does the percentage of women who spend their earnings on </w:t>
      </w:r>
      <w:r w:rsidR="00433EEC">
        <w:t>family and children.  T</w:t>
      </w:r>
      <w:r w:rsidRPr="003D19EA">
        <w:t>his trend reverses</w:t>
      </w:r>
      <w:r w:rsidR="00433EEC">
        <w:t>, however,</w:t>
      </w:r>
      <w:r w:rsidRPr="003D19EA">
        <w:t xml:space="preserve"> for money kept for personal use. </w:t>
      </w:r>
    </w:p>
    <w:p w:rsidR="003F3C43" w:rsidRPr="003D19EA" w:rsidRDefault="003F3C43" w:rsidP="003F3C43">
      <w:pPr>
        <w:pStyle w:val="ListParagraph"/>
        <w:numPr>
          <w:ilvl w:val="0"/>
          <w:numId w:val="0"/>
        </w:numPr>
      </w:pPr>
      <w:r>
        <w:rPr>
          <w:noProof/>
          <w:lang w:bidi="ar-SA"/>
        </w:rPr>
        <w:drawing>
          <wp:anchor distT="0" distB="0" distL="114300" distR="114300" simplePos="0" relativeHeight="251751424" behindDoc="0" locked="0" layoutInCell="1" allowOverlap="1">
            <wp:simplePos x="0" y="0"/>
            <wp:positionH relativeFrom="column">
              <wp:posOffset>3215005</wp:posOffset>
            </wp:positionH>
            <wp:positionV relativeFrom="paragraph">
              <wp:posOffset>81280</wp:posOffset>
            </wp:positionV>
            <wp:extent cx="3265805" cy="2768600"/>
            <wp:effectExtent l="19050" t="0" r="10795" b="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154BE1" w:rsidRDefault="00116230" w:rsidP="000C3A19">
      <w:pPr>
        <w:pStyle w:val="ListParagraph"/>
        <w:jc w:val="both"/>
      </w:pPr>
      <w:r w:rsidRPr="003D19EA">
        <w:t>More women in the higher income bracket</w:t>
      </w:r>
      <w:r w:rsidR="00433EEC">
        <w:t>s</w:t>
      </w:r>
      <w:r w:rsidR="00154BE1" w:rsidRPr="003D19EA">
        <w:t xml:space="preserve"> put money in savings than do</w:t>
      </w:r>
      <w:r w:rsidRPr="003D19EA">
        <w:t xml:space="preserve"> women earning less than $</w:t>
      </w:r>
      <w:r w:rsidR="00154BE1" w:rsidRPr="003D19EA">
        <w:t>500 per month (11% of women earning $901</w:t>
      </w:r>
      <w:r w:rsidR="00433EEC">
        <w:t xml:space="preserve"> or more</w:t>
      </w:r>
      <w:r w:rsidR="00154BE1" w:rsidRPr="003D19EA">
        <w:t>;</w:t>
      </w:r>
      <w:r w:rsidR="00433EEC">
        <w:t xml:space="preserve"> 6% of women earning $501 to $900; 3% of women earning $301 to $500;</w:t>
      </w:r>
      <w:r w:rsidR="00154BE1" w:rsidRPr="003D19EA">
        <w:t xml:space="preserve"> 2% of women earning less than $300).</w:t>
      </w:r>
    </w:p>
    <w:p w:rsidR="00167EB1" w:rsidRPr="003D19EA" w:rsidRDefault="00167EB1" w:rsidP="00167EB1">
      <w:pPr>
        <w:pStyle w:val="ListParagraph"/>
        <w:numPr>
          <w:ilvl w:val="0"/>
          <w:numId w:val="0"/>
        </w:numPr>
        <w:ind w:left="360"/>
        <w:jc w:val="both"/>
      </w:pPr>
    </w:p>
    <w:p w:rsidR="00DE5CB4" w:rsidRDefault="00AA6670" w:rsidP="000C3A19">
      <w:pPr>
        <w:pStyle w:val="ListParagraph"/>
        <w:jc w:val="both"/>
      </w:pPr>
      <w:r w:rsidRPr="003D19EA">
        <w:t>Fifty-three percent of women earning $901 or more each month spent their earnings on their family and children, compared to four out of ten women earning $300 or less each month.</w:t>
      </w:r>
    </w:p>
    <w:p w:rsidR="00167EB1" w:rsidRDefault="00167EB1" w:rsidP="00167EB1">
      <w:pPr>
        <w:pStyle w:val="ListParagraph"/>
        <w:numPr>
          <w:ilvl w:val="0"/>
          <w:numId w:val="0"/>
        </w:numPr>
        <w:ind w:left="360"/>
      </w:pPr>
    </w:p>
    <w:p w:rsidR="00AA6670" w:rsidRDefault="00E964DA" w:rsidP="000C3A19">
      <w:pPr>
        <w:pStyle w:val="ListParagraph"/>
        <w:jc w:val="both"/>
      </w:pPr>
      <w:r w:rsidRPr="003D19EA">
        <w:t>One-third of women earning $901 or more keep their savings for personal use, while 49 percent of women earning $300 or less each month follow suit.</w:t>
      </w:r>
    </w:p>
    <w:p w:rsidR="00167EB1" w:rsidRDefault="00167EB1" w:rsidP="00167EB1">
      <w:pPr>
        <w:pStyle w:val="ListParagraph"/>
        <w:numPr>
          <w:ilvl w:val="0"/>
          <w:numId w:val="0"/>
        </w:numPr>
        <w:ind w:left="360"/>
      </w:pPr>
    </w:p>
    <w:p w:rsidR="000C3A19" w:rsidRDefault="00E964DA" w:rsidP="000C3A19">
      <w:pPr>
        <w:pStyle w:val="ListParagraph"/>
        <w:jc w:val="both"/>
      </w:pPr>
      <w:r w:rsidRPr="003D19EA">
        <w:t xml:space="preserve">Four times as many women who earn less than $300 </w:t>
      </w:r>
      <w:r w:rsidR="00D57456" w:rsidRPr="003D19EA">
        <w:lastRenderedPageBreak/>
        <w:t xml:space="preserve">as women who earn more than $901 or more </w:t>
      </w:r>
      <w:r w:rsidRPr="003D19EA">
        <w:t>each month give their earnings to their spouse or parent to manage</w:t>
      </w:r>
      <w:r w:rsidR="0039297A" w:rsidRPr="003D19EA">
        <w:t xml:space="preserve">.  </w:t>
      </w:r>
    </w:p>
    <w:p w:rsidR="000C3A19" w:rsidRDefault="000C3A19" w:rsidP="000C3A19">
      <w:pPr>
        <w:pStyle w:val="ListParagraph"/>
        <w:numPr>
          <w:ilvl w:val="0"/>
          <w:numId w:val="0"/>
        </w:numPr>
        <w:ind w:left="360"/>
        <w:jc w:val="both"/>
      </w:pPr>
    </w:p>
    <w:p w:rsidR="00183FBE" w:rsidRPr="00C4426B" w:rsidRDefault="005C6444" w:rsidP="000C3A19">
      <w:pPr>
        <w:ind w:firstLine="0"/>
        <w:jc w:val="both"/>
        <w:rPr>
          <w:sz w:val="21"/>
          <w:szCs w:val="21"/>
        </w:rPr>
      </w:pPr>
      <w:r w:rsidRPr="00C4426B">
        <w:rPr>
          <w:sz w:val="21"/>
          <w:szCs w:val="21"/>
        </w:rPr>
        <w:t xml:space="preserve">Figure 4 looks at how women </w:t>
      </w:r>
      <w:r w:rsidR="00040155" w:rsidRPr="00C4426B">
        <w:rPr>
          <w:sz w:val="21"/>
          <w:szCs w:val="21"/>
        </w:rPr>
        <w:t xml:space="preserve">(n=789) </w:t>
      </w:r>
      <w:r w:rsidRPr="00C4426B">
        <w:rPr>
          <w:sz w:val="21"/>
          <w:szCs w:val="21"/>
        </w:rPr>
        <w:t xml:space="preserve">and men </w:t>
      </w:r>
      <w:r w:rsidR="00040155" w:rsidRPr="00C4426B">
        <w:rPr>
          <w:sz w:val="21"/>
          <w:szCs w:val="21"/>
        </w:rPr>
        <w:t xml:space="preserve">(n=591) </w:t>
      </w:r>
      <w:r w:rsidR="003D19EA" w:rsidRPr="00C4426B">
        <w:rPr>
          <w:sz w:val="21"/>
          <w:szCs w:val="21"/>
        </w:rPr>
        <w:t>g</w:t>
      </w:r>
      <w:r w:rsidR="00183FBE" w:rsidRPr="00C4426B">
        <w:rPr>
          <w:sz w:val="21"/>
          <w:szCs w:val="21"/>
        </w:rPr>
        <w:t>auge their control over income.</w:t>
      </w:r>
    </w:p>
    <w:p w:rsidR="00183FBE" w:rsidRDefault="00183FBE" w:rsidP="000C3A19">
      <w:pPr>
        <w:ind w:firstLine="0"/>
        <w:jc w:val="both"/>
      </w:pPr>
    </w:p>
    <w:p w:rsidR="003D19EA" w:rsidRDefault="00183FBE" w:rsidP="00183FBE">
      <w:pPr>
        <w:pStyle w:val="ListParagraph"/>
      </w:pPr>
      <w:r>
        <w:t>T</w:t>
      </w:r>
      <w:r w:rsidR="003E3DB4" w:rsidRPr="000C3A19">
        <w:t>here is almost no</w:t>
      </w:r>
      <w:r w:rsidR="00E964DA" w:rsidRPr="000C3A19">
        <w:t xml:space="preserve"> difference between the </w:t>
      </w:r>
      <w:r w:rsidR="007A0529" w:rsidRPr="000C3A19">
        <w:t xml:space="preserve">attitudes of women and men regarding </w:t>
      </w:r>
      <w:r w:rsidR="005C6444" w:rsidRPr="000C3A19">
        <w:t xml:space="preserve">control over earnings.  </w:t>
      </w:r>
    </w:p>
    <w:p w:rsidR="00167EB1" w:rsidRDefault="00167EB1" w:rsidP="00167EB1">
      <w:pPr>
        <w:pStyle w:val="ListParagraph"/>
        <w:numPr>
          <w:ilvl w:val="0"/>
          <w:numId w:val="0"/>
        </w:numPr>
        <w:ind w:left="360"/>
      </w:pPr>
    </w:p>
    <w:p w:rsidR="00E964DA" w:rsidRPr="003A54D9" w:rsidRDefault="005C6444" w:rsidP="000C3A19">
      <w:pPr>
        <w:pStyle w:val="ListParagraph"/>
        <w:jc w:val="both"/>
      </w:pPr>
      <w:r w:rsidRPr="003A54D9">
        <w:t>Eigh</w:t>
      </w:r>
      <w:r w:rsidR="003E3DB4" w:rsidRPr="003A54D9">
        <w:t>ty-nine percent of women and 86</w:t>
      </w:r>
      <w:r w:rsidRPr="003A54D9">
        <w:t>% of men said that they feel completely free in deciding how to spend their earnings.</w:t>
      </w:r>
      <w:r w:rsidR="00224727">
        <w:t xml:space="preserve"> These differences are </w:t>
      </w:r>
      <w:r w:rsidR="00224727">
        <w:rPr>
          <w:b/>
        </w:rPr>
        <w:t xml:space="preserve">not </w:t>
      </w:r>
      <w:r w:rsidR="00224727">
        <w:t>statistically significant.</w:t>
      </w:r>
    </w:p>
    <w:p w:rsidR="000564A3" w:rsidRDefault="000564A3" w:rsidP="00EF1451">
      <w:pPr>
        <w:ind w:firstLine="0"/>
        <w:jc w:val="both"/>
        <w:rPr>
          <w:rFonts w:ascii="Tw Cen MT" w:eastAsiaTheme="majorEastAsia" w:hAnsi="Tw Cen MT" w:cstheme="majorBidi"/>
          <w:sz w:val="32"/>
          <w:szCs w:val="36"/>
        </w:rPr>
      </w:pPr>
    </w:p>
    <w:p w:rsidR="00EF1451" w:rsidRPr="00EF1451" w:rsidRDefault="00D8441B" w:rsidP="00EF1451">
      <w:pPr>
        <w:ind w:firstLine="0"/>
        <w:jc w:val="both"/>
        <w:rPr>
          <w:sz w:val="21"/>
          <w:szCs w:val="21"/>
          <w:lang w:bidi="ar-SA"/>
        </w:rPr>
      </w:pPr>
      <w:r w:rsidRPr="00EF1451">
        <w:rPr>
          <w:rFonts w:ascii="Tw Cen MT" w:eastAsiaTheme="majorEastAsia" w:hAnsi="Tw Cen MT" w:cstheme="majorBidi"/>
          <w:sz w:val="32"/>
          <w:szCs w:val="36"/>
        </w:rPr>
        <w:t>Household Decision Making</w:t>
      </w:r>
    </w:p>
    <w:p w:rsidR="00043AA2" w:rsidRPr="00921F50" w:rsidRDefault="00DB5CF0" w:rsidP="00F40B53">
      <w:pPr>
        <w:spacing w:after="120" w:line="264" w:lineRule="auto"/>
        <w:ind w:firstLine="0"/>
        <w:jc w:val="both"/>
        <w:rPr>
          <w:sz w:val="21"/>
          <w:szCs w:val="21"/>
        </w:rPr>
      </w:pPr>
      <w:r w:rsidRPr="00921F50">
        <w:rPr>
          <w:sz w:val="21"/>
          <w:szCs w:val="21"/>
        </w:rPr>
        <w:t xml:space="preserve">Of the women that participated in the survey, </w:t>
      </w:r>
      <w:r w:rsidR="00F40B53">
        <w:rPr>
          <w:sz w:val="21"/>
          <w:szCs w:val="21"/>
        </w:rPr>
        <w:t xml:space="preserve">66% </w:t>
      </w:r>
      <w:r w:rsidRPr="00921F50">
        <w:rPr>
          <w:sz w:val="21"/>
          <w:szCs w:val="21"/>
        </w:rPr>
        <w:t xml:space="preserve">were either currently or </w:t>
      </w:r>
      <w:r w:rsidR="00121722" w:rsidRPr="00921F50">
        <w:rPr>
          <w:sz w:val="21"/>
          <w:szCs w:val="21"/>
        </w:rPr>
        <w:t>formerly married.</w:t>
      </w:r>
    </w:p>
    <w:p w:rsidR="00936FFC" w:rsidRPr="00921F50" w:rsidRDefault="00A42D86" w:rsidP="009F4DA4">
      <w:pPr>
        <w:spacing w:after="120" w:line="264" w:lineRule="auto"/>
        <w:ind w:firstLine="0"/>
        <w:jc w:val="both"/>
        <w:rPr>
          <w:sz w:val="21"/>
          <w:szCs w:val="21"/>
        </w:rPr>
      </w:pPr>
      <w:r>
        <w:rPr>
          <w:noProof/>
          <w:sz w:val="21"/>
          <w:szCs w:val="21"/>
          <w:lang w:bidi="ar-SA"/>
        </w:rPr>
        <w:drawing>
          <wp:anchor distT="0" distB="0" distL="114300" distR="114300" simplePos="0" relativeHeight="251752448" behindDoc="0" locked="0" layoutInCell="1" allowOverlap="1">
            <wp:simplePos x="0" y="0"/>
            <wp:positionH relativeFrom="column">
              <wp:posOffset>2247900</wp:posOffset>
            </wp:positionH>
            <wp:positionV relativeFrom="paragraph">
              <wp:posOffset>495935</wp:posOffset>
            </wp:positionV>
            <wp:extent cx="4043680" cy="2520315"/>
            <wp:effectExtent l="19050" t="0" r="13970"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847255" w:rsidRPr="00921F50">
        <w:rPr>
          <w:sz w:val="21"/>
          <w:szCs w:val="21"/>
        </w:rPr>
        <w:t>Figure 5 shows that y</w:t>
      </w:r>
      <w:r w:rsidR="00224727" w:rsidRPr="00921F50">
        <w:rPr>
          <w:sz w:val="21"/>
          <w:szCs w:val="21"/>
        </w:rPr>
        <w:t>ounger couples are more likely than those 55 and older to share decision making responsibility</w:t>
      </w:r>
      <w:r w:rsidR="003E1722" w:rsidRPr="00921F50">
        <w:rPr>
          <w:sz w:val="21"/>
          <w:szCs w:val="21"/>
        </w:rPr>
        <w:t xml:space="preserve"> </w:t>
      </w:r>
      <w:r w:rsidR="00224727" w:rsidRPr="00921F50">
        <w:rPr>
          <w:sz w:val="21"/>
          <w:szCs w:val="21"/>
        </w:rPr>
        <w:t>about household purchases for daily needs. As age increases, women take on more independent authority in this realm.</w:t>
      </w:r>
    </w:p>
    <w:p w:rsidR="003E1722" w:rsidRDefault="003E1722" w:rsidP="000C3A19">
      <w:pPr>
        <w:pStyle w:val="ListParagraph"/>
        <w:jc w:val="both"/>
      </w:pPr>
      <w:r>
        <w:t>Three-fifths of married women 55 and older have the final say over household purchases, compared to half of married women aged 35 to 54, and 38% of married women 18 to 34.</w:t>
      </w:r>
    </w:p>
    <w:p w:rsidR="00167EB1" w:rsidRDefault="00167EB1" w:rsidP="00167EB1">
      <w:pPr>
        <w:pStyle w:val="ListParagraph"/>
        <w:numPr>
          <w:ilvl w:val="0"/>
          <w:numId w:val="0"/>
        </w:numPr>
        <w:ind w:left="360"/>
        <w:jc w:val="both"/>
      </w:pPr>
    </w:p>
    <w:p w:rsidR="00224727" w:rsidRDefault="00D05EDD" w:rsidP="000C3A19">
      <w:pPr>
        <w:pStyle w:val="ListParagraph"/>
        <w:jc w:val="both"/>
      </w:pPr>
      <w:r>
        <w:t xml:space="preserve">Twice as many </w:t>
      </w:r>
      <w:r w:rsidR="00936FFC">
        <w:t>married women aged</w:t>
      </w:r>
      <w:r w:rsidR="002A7A0F">
        <w:t xml:space="preserve"> </w:t>
      </w:r>
      <w:r>
        <w:t>18-34 (16%)</w:t>
      </w:r>
      <w:r w:rsidR="003A54D9">
        <w:t xml:space="preserve"> as</w:t>
      </w:r>
      <w:r w:rsidR="00C00CE2">
        <w:t xml:space="preserve"> marrie</w:t>
      </w:r>
      <w:r w:rsidR="00224727">
        <w:t>d women</w:t>
      </w:r>
      <w:r w:rsidR="00C00CE2">
        <w:t xml:space="preserve"> </w:t>
      </w:r>
      <w:r>
        <w:t>55 and older (8%)</w:t>
      </w:r>
      <w:r w:rsidR="003A54D9">
        <w:t xml:space="preserve"> reported that their husbands make</w:t>
      </w:r>
      <w:r>
        <w:t xml:space="preserve"> final decision</w:t>
      </w:r>
      <w:r w:rsidR="003A54D9">
        <w:t>s</w:t>
      </w:r>
      <w:r>
        <w:t xml:space="preserve"> over household purchases.</w:t>
      </w:r>
    </w:p>
    <w:p w:rsidR="00167EB1" w:rsidRDefault="00167EB1" w:rsidP="00167EB1">
      <w:pPr>
        <w:pStyle w:val="ListParagraph"/>
        <w:numPr>
          <w:ilvl w:val="0"/>
          <w:numId w:val="0"/>
        </w:numPr>
        <w:ind w:left="360"/>
      </w:pPr>
    </w:p>
    <w:p w:rsidR="00D05EDD" w:rsidRDefault="008B0F7F" w:rsidP="000C3A19">
      <w:pPr>
        <w:pStyle w:val="ListParagraph"/>
        <w:jc w:val="both"/>
      </w:pPr>
      <w:r>
        <w:t xml:space="preserve">Almost twice as many married </w:t>
      </w:r>
      <w:r w:rsidR="0066173C">
        <w:t xml:space="preserve">women </w:t>
      </w:r>
      <w:r>
        <w:t xml:space="preserve">18-34 </w:t>
      </w:r>
      <w:r w:rsidR="00224727">
        <w:t>as married women 55 and older</w:t>
      </w:r>
      <w:r w:rsidR="00C00CE2">
        <w:t xml:space="preserve"> </w:t>
      </w:r>
      <w:r w:rsidR="00224727">
        <w:t>report making</w:t>
      </w:r>
      <w:r w:rsidR="00C00CE2">
        <w:t xml:space="preserve"> </w:t>
      </w:r>
      <w:r w:rsidR="0066173C">
        <w:t>decisions over household purchases</w:t>
      </w:r>
      <w:r>
        <w:t xml:space="preserve"> </w:t>
      </w:r>
      <w:r w:rsidR="00224727">
        <w:t xml:space="preserve">jointly </w:t>
      </w:r>
      <w:r>
        <w:t>with their husbands</w:t>
      </w:r>
      <w:r w:rsidR="00C00CE2">
        <w:t xml:space="preserve"> (24% and 44% respectively)</w:t>
      </w:r>
      <w:r>
        <w:t>.</w:t>
      </w:r>
    </w:p>
    <w:p w:rsidR="00E964DA" w:rsidRPr="00226690" w:rsidRDefault="007E1470" w:rsidP="00322515">
      <w:pPr>
        <w:spacing w:after="120" w:line="264" w:lineRule="auto"/>
        <w:ind w:firstLine="0"/>
        <w:jc w:val="both"/>
        <w:rPr>
          <w:sz w:val="21"/>
          <w:szCs w:val="21"/>
        </w:rPr>
      </w:pPr>
      <w:r>
        <w:br/>
      </w:r>
      <w:r w:rsidR="006210DF">
        <w:rPr>
          <w:noProof/>
          <w:sz w:val="21"/>
          <w:szCs w:val="21"/>
          <w:lang w:bidi="ar-SA"/>
        </w:rPr>
        <w:pict>
          <v:shape id="_x0000_s1091" type="#_x0000_t202" style="position:absolute;left:0;text-align:left;margin-left:144.6pt;margin-top:386.4pt;width:57.15pt;height:21.2pt;z-index:251728896;mso-position-horizontal-relative:text;mso-position-vertical-relative:text;mso-width-relative:margin;mso-height-relative:margin" stroked="f">
            <v:textbox style="mso-next-textbox:#_x0000_s1091">
              <w:txbxContent>
                <w:p w:rsidR="00036D01" w:rsidRPr="007D034A" w:rsidRDefault="00036D01" w:rsidP="00A976E1">
                  <w:pPr>
                    <w:ind w:firstLine="0"/>
                    <w:rPr>
                      <w:b/>
                    </w:rPr>
                  </w:pPr>
                  <w:r>
                    <w:rPr>
                      <w:b/>
                    </w:rPr>
                    <w:t>Figure 7</w:t>
                  </w:r>
                </w:p>
              </w:txbxContent>
            </v:textbox>
          </v:shape>
        </w:pict>
      </w:r>
      <w:r w:rsidR="00810D44" w:rsidRPr="00226690">
        <w:rPr>
          <w:sz w:val="21"/>
          <w:szCs w:val="21"/>
        </w:rPr>
        <w:t xml:space="preserve">Figure 6 examines how many </w:t>
      </w:r>
      <w:r w:rsidR="00224727" w:rsidRPr="00226690">
        <w:rPr>
          <w:sz w:val="21"/>
          <w:szCs w:val="21"/>
        </w:rPr>
        <w:t xml:space="preserve">currently or formerly </w:t>
      </w:r>
      <w:r w:rsidR="00810D44" w:rsidRPr="00226690">
        <w:rPr>
          <w:sz w:val="21"/>
          <w:szCs w:val="21"/>
        </w:rPr>
        <w:t>marrie</w:t>
      </w:r>
      <w:r w:rsidR="00224727" w:rsidRPr="00226690">
        <w:rPr>
          <w:sz w:val="21"/>
          <w:szCs w:val="21"/>
        </w:rPr>
        <w:t xml:space="preserve">d women </w:t>
      </w:r>
      <w:r w:rsidR="00810D44" w:rsidRPr="00226690">
        <w:rPr>
          <w:sz w:val="21"/>
          <w:szCs w:val="21"/>
        </w:rPr>
        <w:t xml:space="preserve">make decisions about daily household purchases, by </w:t>
      </w:r>
      <w:r w:rsidR="00FF79FA" w:rsidRPr="00226690">
        <w:rPr>
          <w:sz w:val="21"/>
          <w:szCs w:val="21"/>
        </w:rPr>
        <w:t>whether or not they work for pay</w:t>
      </w:r>
      <w:r w:rsidR="00810D44" w:rsidRPr="00226690">
        <w:rPr>
          <w:sz w:val="21"/>
          <w:szCs w:val="21"/>
        </w:rPr>
        <w:t>.</w:t>
      </w:r>
    </w:p>
    <w:p w:rsidR="000564A3" w:rsidRDefault="00A3570A" w:rsidP="000C3A19">
      <w:pPr>
        <w:pStyle w:val="ListParagraph"/>
        <w:jc w:val="both"/>
      </w:pPr>
      <w:r>
        <w:t>Married women who</w:t>
      </w:r>
      <w:r w:rsidR="00FF79FA">
        <w:t xml:space="preserve"> worked for pay </w:t>
      </w:r>
      <w:r>
        <w:t>were significantly more likely to have</w:t>
      </w:r>
      <w:r w:rsidR="00FF79FA">
        <w:t xml:space="preserve"> autonomous decision-making</w:t>
      </w:r>
      <w:r>
        <w:t xml:space="preserve"> power over</w:t>
      </w:r>
      <w:r w:rsidR="00FF79FA">
        <w:t xml:space="preserve"> household purchases</w:t>
      </w:r>
      <w:r>
        <w:t xml:space="preserve"> than married women who did not work</w:t>
      </w:r>
      <w:r w:rsidR="000564A3">
        <w:t xml:space="preserve"> (55% and 48% respectively).</w:t>
      </w:r>
    </w:p>
    <w:p w:rsidR="00167EB1" w:rsidRDefault="00167EB1" w:rsidP="00167EB1">
      <w:pPr>
        <w:pStyle w:val="ListParagraph"/>
        <w:numPr>
          <w:ilvl w:val="0"/>
          <w:numId w:val="0"/>
        </w:numPr>
        <w:ind w:left="360"/>
        <w:jc w:val="both"/>
      </w:pPr>
    </w:p>
    <w:p w:rsidR="00521B47" w:rsidRDefault="00FF79FA" w:rsidP="000C3A19">
      <w:pPr>
        <w:pStyle w:val="ListParagraph"/>
        <w:jc w:val="both"/>
      </w:pPr>
      <w:r>
        <w:t xml:space="preserve">In households where married </w:t>
      </w:r>
      <w:r w:rsidR="00521B47">
        <w:t xml:space="preserve">women </w:t>
      </w:r>
      <w:r>
        <w:t>did not work,</w:t>
      </w:r>
      <w:r w:rsidR="00521B47">
        <w:t xml:space="preserve"> </w:t>
      </w:r>
      <w:r>
        <w:t xml:space="preserve">12% </w:t>
      </w:r>
      <w:r w:rsidR="00A3570A">
        <w:t xml:space="preserve">of </w:t>
      </w:r>
      <w:r>
        <w:t xml:space="preserve">husbands had final say over household purchases, while </w:t>
      </w:r>
      <w:r w:rsidR="00521B47">
        <w:t xml:space="preserve">only </w:t>
      </w:r>
      <w:r>
        <w:t xml:space="preserve">7% of husbands had final say when </w:t>
      </w:r>
      <w:r w:rsidR="00521B47">
        <w:t>their wives were working</w:t>
      </w:r>
      <w:r>
        <w:t>.</w:t>
      </w:r>
    </w:p>
    <w:p w:rsidR="00167EB1" w:rsidRDefault="00167EB1" w:rsidP="00167EB1">
      <w:pPr>
        <w:pStyle w:val="ListParagraph"/>
        <w:numPr>
          <w:ilvl w:val="0"/>
          <w:numId w:val="0"/>
        </w:numPr>
        <w:ind w:left="360"/>
      </w:pPr>
    </w:p>
    <w:p w:rsidR="00E964DA" w:rsidRDefault="00784028" w:rsidP="000C3A19">
      <w:pPr>
        <w:pStyle w:val="ListParagraph"/>
        <w:jc w:val="both"/>
      </w:pPr>
      <w:r>
        <w:t>Joint decision making about household purchases for daily needs is equally common among households in which women work and among those in which the women do not work</w:t>
      </w:r>
      <w:r w:rsidR="00521B47">
        <w:t xml:space="preserve">.  </w:t>
      </w:r>
    </w:p>
    <w:p w:rsidR="00E92841" w:rsidRPr="00DB5CF0" w:rsidRDefault="003F3C43" w:rsidP="00E92841">
      <w:pPr>
        <w:spacing w:after="120" w:line="264" w:lineRule="auto"/>
        <w:ind w:firstLine="0"/>
        <w:jc w:val="both"/>
        <w:rPr>
          <w:sz w:val="21"/>
          <w:szCs w:val="21"/>
        </w:rPr>
      </w:pPr>
      <w:r>
        <w:rPr>
          <w:noProof/>
          <w:sz w:val="21"/>
          <w:szCs w:val="21"/>
          <w:lang w:bidi="ar-SA"/>
        </w:rPr>
        <w:lastRenderedPageBreak/>
        <w:drawing>
          <wp:anchor distT="0" distB="0" distL="114300" distR="114300" simplePos="0" relativeHeight="251753472" behindDoc="0" locked="0" layoutInCell="1" allowOverlap="1">
            <wp:simplePos x="0" y="0"/>
            <wp:positionH relativeFrom="column">
              <wp:posOffset>2611120</wp:posOffset>
            </wp:positionH>
            <wp:positionV relativeFrom="paragraph">
              <wp:posOffset>-155575</wp:posOffset>
            </wp:positionV>
            <wp:extent cx="3841115" cy="3351530"/>
            <wp:effectExtent l="19050" t="0" r="26035" b="127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Pr>
          <w:sz w:val="21"/>
          <w:szCs w:val="21"/>
        </w:rPr>
        <w:t>F</w:t>
      </w:r>
      <w:r w:rsidR="00E92841" w:rsidRPr="00DB5CF0">
        <w:rPr>
          <w:sz w:val="21"/>
          <w:szCs w:val="21"/>
        </w:rPr>
        <w:t>igure 7 examines how many married women make decisions about large household purchases.</w:t>
      </w:r>
    </w:p>
    <w:p w:rsidR="00E92841" w:rsidRDefault="00E92841" w:rsidP="00E92841">
      <w:pPr>
        <w:spacing w:after="120" w:line="264" w:lineRule="auto"/>
        <w:ind w:firstLine="0"/>
        <w:jc w:val="both"/>
        <w:rPr>
          <w:sz w:val="21"/>
          <w:szCs w:val="21"/>
        </w:rPr>
      </w:pPr>
      <w:proofErr w:type="gramStart"/>
      <w:r w:rsidRPr="00DB5CF0">
        <w:rPr>
          <w:sz w:val="21"/>
          <w:szCs w:val="21"/>
        </w:rPr>
        <w:t xml:space="preserve">The frequency of married women making sole decisions on large </w:t>
      </w:r>
      <w:r w:rsidR="00161D6D">
        <w:rPr>
          <w:sz w:val="21"/>
          <w:szCs w:val="21"/>
        </w:rPr>
        <w:t>household purchases increases with age</w:t>
      </w:r>
      <w:r w:rsidRPr="00DB5CF0">
        <w:rPr>
          <w:sz w:val="21"/>
          <w:szCs w:val="21"/>
        </w:rPr>
        <w:t>.</w:t>
      </w:r>
      <w:proofErr w:type="gramEnd"/>
      <w:r w:rsidRPr="00DB5CF0">
        <w:rPr>
          <w:sz w:val="21"/>
          <w:szCs w:val="21"/>
        </w:rPr>
        <w:t xml:space="preserve">  The frequency of </w:t>
      </w:r>
      <w:r w:rsidR="00DB5CF0" w:rsidRPr="00DB5CF0">
        <w:rPr>
          <w:sz w:val="21"/>
          <w:szCs w:val="21"/>
        </w:rPr>
        <w:t>husbands</w:t>
      </w:r>
      <w:r w:rsidRPr="00DB5CF0">
        <w:rPr>
          <w:sz w:val="21"/>
          <w:szCs w:val="21"/>
        </w:rPr>
        <w:t xml:space="preserve"> making </w:t>
      </w:r>
      <w:r w:rsidR="00DB5CF0" w:rsidRPr="00DB5CF0">
        <w:rPr>
          <w:sz w:val="21"/>
          <w:szCs w:val="21"/>
        </w:rPr>
        <w:t xml:space="preserve">sole decisions about large </w:t>
      </w:r>
      <w:r w:rsidRPr="00DB5CF0">
        <w:rPr>
          <w:sz w:val="21"/>
          <w:szCs w:val="21"/>
        </w:rPr>
        <w:t xml:space="preserve">household purchases follows the reverse trend and decreases by each group.  </w:t>
      </w:r>
    </w:p>
    <w:p w:rsidR="003C061F" w:rsidRDefault="00DB5CF0" w:rsidP="000C3A19">
      <w:pPr>
        <w:pStyle w:val="ListParagraph"/>
        <w:jc w:val="both"/>
      </w:pPr>
      <w:r>
        <w:t>More than th</w:t>
      </w:r>
      <w:r w:rsidR="00784028">
        <w:t>ree times as many married women</w:t>
      </w:r>
      <w:r>
        <w:t xml:space="preserve"> 55 an</w:t>
      </w:r>
      <w:r w:rsidR="00784028">
        <w:t>d older (33%), as married women</w:t>
      </w:r>
      <w:r>
        <w:t xml:space="preserve"> 18-34 (10%), make </w:t>
      </w:r>
      <w:proofErr w:type="spellStart"/>
      <w:r>
        <w:t>sole</w:t>
      </w:r>
      <w:proofErr w:type="spellEnd"/>
      <w:r>
        <w:t xml:space="preserve"> decisions about large household purchases.</w:t>
      </w:r>
    </w:p>
    <w:p w:rsidR="00036D01" w:rsidRPr="003C061F" w:rsidRDefault="00036D01" w:rsidP="00036D01">
      <w:pPr>
        <w:pStyle w:val="ListParagraph"/>
        <w:numPr>
          <w:ilvl w:val="0"/>
          <w:numId w:val="0"/>
        </w:numPr>
        <w:ind w:left="360"/>
        <w:jc w:val="both"/>
      </w:pPr>
    </w:p>
    <w:p w:rsidR="003C061F" w:rsidRDefault="005D5085" w:rsidP="000C3A19">
      <w:pPr>
        <w:pStyle w:val="ListParagraph"/>
        <w:jc w:val="both"/>
      </w:pPr>
      <w:r>
        <w:rPr>
          <w:noProof/>
          <w:lang w:bidi="ar-SA"/>
        </w:rPr>
        <w:drawing>
          <wp:anchor distT="0" distB="0" distL="114300" distR="114300" simplePos="0" relativeHeight="251754496" behindDoc="0" locked="0" layoutInCell="1" allowOverlap="1">
            <wp:simplePos x="0" y="0"/>
            <wp:positionH relativeFrom="column">
              <wp:posOffset>1972310</wp:posOffset>
            </wp:positionH>
            <wp:positionV relativeFrom="paragraph">
              <wp:posOffset>868045</wp:posOffset>
            </wp:positionV>
            <wp:extent cx="4537710" cy="2181860"/>
            <wp:effectExtent l="19050" t="0" r="15240" b="889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3C061F" w:rsidRPr="003C061F">
        <w:t xml:space="preserve"> </w:t>
      </w:r>
      <w:r w:rsidR="003C061F">
        <w:t>Among married women 55 and older, half as many report that their husbands are the sole decision makers about large household purchases as among married women aged 18 to 22 (11% and 22%, respectively).</w:t>
      </w:r>
    </w:p>
    <w:p w:rsidR="00D7127C" w:rsidRDefault="009201D8" w:rsidP="00D7127C">
      <w:pPr>
        <w:pStyle w:val="ListParagraph"/>
        <w:numPr>
          <w:ilvl w:val="0"/>
          <w:numId w:val="0"/>
        </w:numPr>
        <w:ind w:left="360"/>
        <w:jc w:val="both"/>
      </w:pPr>
      <w:r w:rsidRPr="003C061F">
        <w:t xml:space="preserve">In households of married women ages </w:t>
      </w:r>
      <w:r w:rsidR="00DB5CF0" w:rsidRPr="003C061F">
        <w:t>18-34 and 35-54</w:t>
      </w:r>
      <w:r w:rsidR="00121722" w:rsidRPr="003C061F">
        <w:t xml:space="preserve">, the majority of </w:t>
      </w:r>
      <w:r w:rsidRPr="003C061F">
        <w:t xml:space="preserve">women </w:t>
      </w:r>
      <w:r w:rsidR="00121722" w:rsidRPr="003C061F">
        <w:t xml:space="preserve">share decision-making of large household items </w:t>
      </w:r>
      <w:r w:rsidRPr="003C061F">
        <w:t>with their husbands</w:t>
      </w:r>
      <w:r w:rsidR="00FB22A3" w:rsidRPr="003C061F">
        <w:t xml:space="preserve"> </w:t>
      </w:r>
      <w:r w:rsidR="00121722" w:rsidRPr="003C061F">
        <w:t xml:space="preserve">(64%), </w:t>
      </w:r>
      <w:r w:rsidRPr="003C061F">
        <w:t xml:space="preserve">compared to </w:t>
      </w:r>
      <w:r w:rsidR="00121722" w:rsidRPr="003C061F">
        <w:t>48%</w:t>
      </w:r>
      <w:r w:rsidRPr="003C061F">
        <w:t xml:space="preserve"> of </w:t>
      </w:r>
      <w:r w:rsidR="00EA2E7E" w:rsidRPr="003C061F">
        <w:t xml:space="preserve">married </w:t>
      </w:r>
      <w:r w:rsidRPr="003C061F">
        <w:t>women, 55 and older.</w:t>
      </w:r>
    </w:p>
    <w:p w:rsidR="00014B5B" w:rsidRDefault="00014B5B" w:rsidP="00D7127C">
      <w:pPr>
        <w:pStyle w:val="ListParagraph"/>
        <w:numPr>
          <w:ilvl w:val="0"/>
          <w:numId w:val="0"/>
        </w:numPr>
        <w:jc w:val="both"/>
      </w:pPr>
    </w:p>
    <w:p w:rsidR="00EF5E68" w:rsidRDefault="00150F48" w:rsidP="00D7127C">
      <w:pPr>
        <w:pStyle w:val="ListParagraph"/>
        <w:numPr>
          <w:ilvl w:val="0"/>
          <w:numId w:val="0"/>
        </w:numPr>
        <w:jc w:val="both"/>
      </w:pPr>
      <w:r>
        <w:t xml:space="preserve">Figure 8 looks at how many women have final say over </w:t>
      </w:r>
      <w:r w:rsidR="00784028">
        <w:t xml:space="preserve">important </w:t>
      </w:r>
      <w:r w:rsidR="00EF5E68">
        <w:t>family decision</w:t>
      </w:r>
      <w:r w:rsidR="00161D6D">
        <w:t>s</w:t>
      </w:r>
      <w:r w:rsidR="00784028">
        <w:t>, such as</w:t>
      </w:r>
      <w:r w:rsidR="00EF5E68">
        <w:t xml:space="preserve"> buying a house.</w:t>
      </w:r>
      <w:r w:rsidR="00AE1C8E">
        <w:br/>
      </w:r>
    </w:p>
    <w:p w:rsidR="003C0E7D" w:rsidRDefault="00161D6D" w:rsidP="000C3A19">
      <w:pPr>
        <w:pStyle w:val="ListParagraph"/>
        <w:jc w:val="both"/>
      </w:pPr>
      <w:r>
        <w:t>Very few married women aged 18-34</w:t>
      </w:r>
      <w:r w:rsidR="00EF5E68">
        <w:t xml:space="preserve"> have autonomous decision-making ability about such decisions (5%), although more than f</w:t>
      </w:r>
      <w:r w:rsidR="001D3AD9">
        <w:t>ive times as many married women</w:t>
      </w:r>
      <w:r w:rsidR="00EF5E68">
        <w:t xml:space="preserve"> 55 and older, do. </w:t>
      </w:r>
    </w:p>
    <w:p w:rsidR="00036D01" w:rsidRDefault="00036D01" w:rsidP="00036D01">
      <w:pPr>
        <w:pStyle w:val="ListParagraph"/>
        <w:numPr>
          <w:ilvl w:val="0"/>
          <w:numId w:val="0"/>
        </w:numPr>
        <w:ind w:left="360"/>
        <w:jc w:val="both"/>
      </w:pPr>
    </w:p>
    <w:p w:rsidR="00EF5E68" w:rsidRDefault="001D3AD9" w:rsidP="000C3A19">
      <w:pPr>
        <w:pStyle w:val="ListParagraph"/>
        <w:jc w:val="both"/>
      </w:pPr>
      <w:r>
        <w:t>Among married women aged</w:t>
      </w:r>
      <w:r w:rsidR="003C0E7D">
        <w:t xml:space="preserve"> 18-34,</w:t>
      </w:r>
      <w:r>
        <w:t xml:space="preserve"> one quarter report that their husbands</w:t>
      </w:r>
      <w:r w:rsidR="003C0E7D">
        <w:t xml:space="preserve"> have sole decision-making authority over family de</w:t>
      </w:r>
      <w:r>
        <w:t>cisions such as buying a house, five times as many as report that the women themselves have such authority.</w:t>
      </w:r>
    </w:p>
    <w:p w:rsidR="00036D01" w:rsidRDefault="00036D01" w:rsidP="00036D01">
      <w:pPr>
        <w:pStyle w:val="ListParagraph"/>
        <w:numPr>
          <w:ilvl w:val="0"/>
          <w:numId w:val="0"/>
        </w:numPr>
        <w:ind w:left="360"/>
      </w:pPr>
    </w:p>
    <w:p w:rsidR="00FB22A3" w:rsidRDefault="00161D6D" w:rsidP="000C3A19">
      <w:pPr>
        <w:pStyle w:val="ListParagraph"/>
        <w:jc w:val="both"/>
      </w:pPr>
      <w:r>
        <w:t>Regardless of age group</w:t>
      </w:r>
      <w:r w:rsidR="00FB22A3">
        <w:t>, in the majority of households, marrie</w:t>
      </w:r>
      <w:r>
        <w:t>d women and husbands share important family</w:t>
      </w:r>
      <w:r w:rsidR="00FB22A3">
        <w:t xml:space="preserve"> decisions</w:t>
      </w:r>
      <w:r>
        <w:t>, such as buying a house</w:t>
      </w:r>
      <w:r w:rsidR="00FB22A3">
        <w:t xml:space="preserve"> (18-24, 67%; 35-54, 68%; 55+, 53%). </w:t>
      </w:r>
    </w:p>
    <w:p w:rsidR="005A67A2" w:rsidRDefault="005A67A2" w:rsidP="00B56331">
      <w:pPr>
        <w:ind w:firstLine="0"/>
      </w:pPr>
    </w:p>
    <w:p w:rsidR="003F3C43" w:rsidRDefault="003F3C43">
      <w:pPr>
        <w:ind w:firstLine="0"/>
        <w:rPr>
          <w:rFonts w:ascii="Tw Cen MT" w:eastAsiaTheme="majorEastAsia" w:hAnsi="Tw Cen MT" w:cstheme="majorBidi"/>
          <w:sz w:val="32"/>
          <w:szCs w:val="36"/>
        </w:rPr>
      </w:pPr>
      <w:r>
        <w:rPr>
          <w:rFonts w:ascii="Tw Cen MT" w:eastAsiaTheme="majorEastAsia" w:hAnsi="Tw Cen MT" w:cstheme="majorBidi"/>
          <w:sz w:val="32"/>
          <w:szCs w:val="36"/>
        </w:rPr>
        <w:br w:type="page"/>
      </w:r>
    </w:p>
    <w:p w:rsidR="00784028" w:rsidRDefault="003F3C43" w:rsidP="003C061F">
      <w:pPr>
        <w:spacing w:after="120" w:line="264" w:lineRule="auto"/>
        <w:ind w:firstLine="0"/>
        <w:jc w:val="both"/>
      </w:pPr>
      <w:r>
        <w:rPr>
          <w:rFonts w:ascii="Tw Cen MT" w:eastAsiaTheme="majorEastAsia" w:hAnsi="Tw Cen MT" w:cstheme="majorBidi"/>
          <w:noProof/>
          <w:sz w:val="32"/>
          <w:szCs w:val="36"/>
          <w:lang w:bidi="ar-SA"/>
        </w:rPr>
        <w:lastRenderedPageBreak/>
        <w:drawing>
          <wp:anchor distT="0" distB="0" distL="114300" distR="114300" simplePos="0" relativeHeight="251755520" behindDoc="0" locked="0" layoutInCell="1" allowOverlap="1">
            <wp:simplePos x="0" y="0"/>
            <wp:positionH relativeFrom="column">
              <wp:posOffset>2038985</wp:posOffset>
            </wp:positionH>
            <wp:positionV relativeFrom="paragraph">
              <wp:posOffset>51435</wp:posOffset>
            </wp:positionV>
            <wp:extent cx="4471035" cy="2181860"/>
            <wp:effectExtent l="19050" t="0" r="24765" b="8890"/>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D8441B" w:rsidRPr="003C061F">
        <w:rPr>
          <w:rFonts w:ascii="Tw Cen MT" w:eastAsiaTheme="majorEastAsia" w:hAnsi="Tw Cen MT" w:cstheme="majorBidi"/>
          <w:sz w:val="32"/>
          <w:szCs w:val="36"/>
        </w:rPr>
        <w:t>Assets</w:t>
      </w:r>
    </w:p>
    <w:p w:rsidR="00043DC6" w:rsidRDefault="003C061F" w:rsidP="00322515">
      <w:pPr>
        <w:spacing w:after="120" w:line="264" w:lineRule="auto"/>
        <w:ind w:firstLine="0"/>
        <w:jc w:val="both"/>
        <w:rPr>
          <w:sz w:val="21"/>
          <w:szCs w:val="21"/>
        </w:rPr>
      </w:pPr>
      <w:r w:rsidRPr="00EC2F17">
        <w:rPr>
          <w:sz w:val="21"/>
          <w:szCs w:val="21"/>
        </w:rPr>
        <w:t xml:space="preserve">The survey asked currently and formerly married women if they personally had three forms of assets – financial savings, land or residential buildings in their name, or other valuables, such as jewelry or cars – to use or sell as they please.  </w:t>
      </w:r>
    </w:p>
    <w:p w:rsidR="00AE1C8E" w:rsidRDefault="00AE1C8E" w:rsidP="00322515">
      <w:pPr>
        <w:spacing w:after="120" w:line="264" w:lineRule="auto"/>
        <w:ind w:firstLine="0"/>
        <w:jc w:val="both"/>
        <w:rPr>
          <w:sz w:val="21"/>
          <w:szCs w:val="21"/>
        </w:rPr>
      </w:pPr>
    </w:p>
    <w:p w:rsidR="00AE1C8E" w:rsidRDefault="00AE1C8E" w:rsidP="00322515">
      <w:pPr>
        <w:spacing w:after="120" w:line="264" w:lineRule="auto"/>
        <w:ind w:firstLine="0"/>
        <w:jc w:val="both"/>
        <w:rPr>
          <w:sz w:val="21"/>
          <w:szCs w:val="21"/>
        </w:rPr>
      </w:pPr>
    </w:p>
    <w:p w:rsidR="009B4D9D" w:rsidRPr="00EC2F17" w:rsidRDefault="00043DC6" w:rsidP="00322515">
      <w:pPr>
        <w:spacing w:after="120" w:line="264" w:lineRule="auto"/>
        <w:ind w:firstLine="0"/>
        <w:jc w:val="both"/>
        <w:rPr>
          <w:sz w:val="21"/>
          <w:szCs w:val="21"/>
        </w:rPr>
      </w:pPr>
      <w:r w:rsidRPr="00EC2F17">
        <w:rPr>
          <w:sz w:val="21"/>
          <w:szCs w:val="21"/>
        </w:rPr>
        <w:t>Figure 9 shows that a</w:t>
      </w:r>
      <w:r w:rsidR="007373A4" w:rsidRPr="00EC2F17">
        <w:rPr>
          <w:sz w:val="21"/>
          <w:szCs w:val="21"/>
        </w:rPr>
        <w:t>cross educational</w:t>
      </w:r>
      <w:r w:rsidR="00FB22A3" w:rsidRPr="00EC2F17">
        <w:rPr>
          <w:sz w:val="21"/>
          <w:szCs w:val="21"/>
        </w:rPr>
        <w:t xml:space="preserve"> categories, le</w:t>
      </w:r>
      <w:r w:rsidR="009B4D9D" w:rsidRPr="00EC2F17">
        <w:rPr>
          <w:sz w:val="21"/>
          <w:szCs w:val="21"/>
        </w:rPr>
        <w:t xml:space="preserve">ss than half of the respondents had a financial savings account, and less than two-fifths of respondents had access to land or property (with the title in their name).  More married women </w:t>
      </w:r>
      <w:r w:rsidR="007373A4" w:rsidRPr="00EC2F17">
        <w:rPr>
          <w:sz w:val="21"/>
          <w:szCs w:val="21"/>
        </w:rPr>
        <w:t>owned</w:t>
      </w:r>
      <w:r w:rsidR="009B4D9D" w:rsidRPr="00EC2F17">
        <w:rPr>
          <w:sz w:val="21"/>
          <w:szCs w:val="21"/>
        </w:rPr>
        <w:t xml:space="preserve"> other items of high</w:t>
      </w:r>
      <w:r w:rsidR="00EA2E7E" w:rsidRPr="00EC2F17">
        <w:rPr>
          <w:sz w:val="21"/>
          <w:szCs w:val="21"/>
        </w:rPr>
        <w:t xml:space="preserve"> </w:t>
      </w:r>
      <w:r w:rsidR="009B4D9D" w:rsidRPr="00EC2F17">
        <w:rPr>
          <w:sz w:val="21"/>
          <w:szCs w:val="21"/>
        </w:rPr>
        <w:t>value, such as a car or jewelry.</w:t>
      </w:r>
      <w:r w:rsidR="00284BF2" w:rsidRPr="00EC2F17">
        <w:rPr>
          <w:sz w:val="21"/>
          <w:szCs w:val="21"/>
        </w:rPr>
        <w:t xml:space="preserve">  </w:t>
      </w:r>
      <w:r w:rsidR="007373A4" w:rsidRPr="00EC2F17">
        <w:rPr>
          <w:sz w:val="21"/>
          <w:szCs w:val="21"/>
        </w:rPr>
        <w:t>Rates of asset control are</w:t>
      </w:r>
      <w:r w:rsidR="00284BF2" w:rsidRPr="00EC2F17">
        <w:rPr>
          <w:sz w:val="21"/>
          <w:szCs w:val="21"/>
        </w:rPr>
        <w:t xml:space="preserve"> dramatically</w:t>
      </w:r>
      <w:r w:rsidR="007373A4" w:rsidRPr="00EC2F17">
        <w:rPr>
          <w:sz w:val="21"/>
          <w:szCs w:val="21"/>
        </w:rPr>
        <w:t xml:space="preserve"> lower among those with lower</w:t>
      </w:r>
      <w:r w:rsidR="00284BF2" w:rsidRPr="00EC2F17">
        <w:rPr>
          <w:sz w:val="21"/>
          <w:szCs w:val="21"/>
        </w:rPr>
        <w:t xml:space="preserve"> levels of </w:t>
      </w:r>
      <w:r w:rsidR="007373A4" w:rsidRPr="00EC2F17">
        <w:rPr>
          <w:sz w:val="21"/>
          <w:szCs w:val="21"/>
        </w:rPr>
        <w:t>educational attainment.</w:t>
      </w:r>
      <w:r w:rsidR="00284BF2" w:rsidRPr="00EC2F17">
        <w:rPr>
          <w:sz w:val="21"/>
          <w:szCs w:val="21"/>
        </w:rPr>
        <w:t xml:space="preserve">  </w:t>
      </w:r>
    </w:p>
    <w:p w:rsidR="000C3A19" w:rsidRDefault="000F187D" w:rsidP="00EC2F17">
      <w:pPr>
        <w:pStyle w:val="ListParagraph"/>
        <w:jc w:val="both"/>
      </w:pPr>
      <w:r>
        <w:rPr>
          <w:noProof/>
          <w:lang w:bidi="ar-SA"/>
        </w:rPr>
        <w:drawing>
          <wp:anchor distT="0" distB="0" distL="114300" distR="114300" simplePos="0" relativeHeight="251756544" behindDoc="0" locked="0" layoutInCell="1" allowOverlap="1">
            <wp:simplePos x="0" y="0"/>
            <wp:positionH relativeFrom="column">
              <wp:posOffset>2110740</wp:posOffset>
            </wp:positionH>
            <wp:positionV relativeFrom="paragraph">
              <wp:posOffset>37465</wp:posOffset>
            </wp:positionV>
            <wp:extent cx="4354195" cy="3105150"/>
            <wp:effectExtent l="19050" t="0" r="27305" b="0"/>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7373A4">
        <w:t>Married women with</w:t>
      </w:r>
      <w:r w:rsidR="009B4D9D">
        <w:t xml:space="preserve"> </w:t>
      </w:r>
      <w:r w:rsidR="007373A4">
        <w:t>university</w:t>
      </w:r>
      <w:r w:rsidR="009B4D9D">
        <w:t xml:space="preserve"> degree</w:t>
      </w:r>
      <w:r w:rsidR="007373A4">
        <w:t>s or more were more likely to have</w:t>
      </w:r>
      <w:r w:rsidR="009B4D9D">
        <w:t xml:space="preserve"> financial savings, land or property, </w:t>
      </w:r>
      <w:r w:rsidR="00EA2E7E">
        <w:t>and/</w:t>
      </w:r>
      <w:r w:rsidR="009B4D9D">
        <w:t>or other high</w:t>
      </w:r>
      <w:r w:rsidR="00EA2E7E">
        <w:t xml:space="preserve"> </w:t>
      </w:r>
      <w:r w:rsidR="007373A4">
        <w:t>value items than</w:t>
      </w:r>
      <w:r w:rsidR="009B4D9D">
        <w:t xml:space="preserve"> </w:t>
      </w:r>
      <w:r w:rsidR="007373A4">
        <w:t>married women without a university education</w:t>
      </w:r>
      <w:r w:rsidR="009B4D9D">
        <w:t>.</w:t>
      </w:r>
    </w:p>
    <w:p w:rsidR="00036D01" w:rsidRDefault="00036D01" w:rsidP="00036D01">
      <w:pPr>
        <w:pStyle w:val="ListParagraph"/>
        <w:numPr>
          <w:ilvl w:val="0"/>
          <w:numId w:val="0"/>
        </w:numPr>
        <w:ind w:left="360"/>
        <w:jc w:val="both"/>
      </w:pPr>
    </w:p>
    <w:p w:rsidR="00553141" w:rsidRDefault="000C4426" w:rsidP="00EC2F17">
      <w:pPr>
        <w:pStyle w:val="ListParagraph"/>
        <w:jc w:val="both"/>
      </w:pPr>
      <w:r>
        <w:t xml:space="preserve">Almost four out of ten married women with a </w:t>
      </w:r>
      <w:r w:rsidR="007373A4">
        <w:t>university</w:t>
      </w:r>
      <w:r>
        <w:t xml:space="preserve"> degree or more</w:t>
      </w:r>
      <w:r w:rsidR="006451E7">
        <w:t xml:space="preserve"> h</w:t>
      </w:r>
      <w:r w:rsidR="007373A4">
        <w:t>ad land or property</w:t>
      </w:r>
      <w:r w:rsidR="006451E7">
        <w:t xml:space="preserve"> in their name, which they could sell or do as they pleased with.  </w:t>
      </w:r>
      <w:proofErr w:type="gramStart"/>
      <w:r w:rsidR="006451E7">
        <w:t>This is significantly more than the rate for married women with only a primary education (15%) and almost double</w:t>
      </w:r>
      <w:proofErr w:type="gramEnd"/>
      <w:r w:rsidR="006451E7">
        <w:t xml:space="preserve"> the rate for women with an intermediate education (20%).</w:t>
      </w:r>
      <w:r w:rsidR="00913C49">
        <w:br/>
      </w:r>
      <w:r w:rsidR="00913C49">
        <w:br/>
      </w:r>
    </w:p>
    <w:p w:rsidR="00957A1A" w:rsidRDefault="006451E7" w:rsidP="000C3A19">
      <w:pPr>
        <w:pStyle w:val="ListParagraph"/>
        <w:jc w:val="both"/>
      </w:pPr>
      <w:r>
        <w:t>More than 70% of married women with a college degree or more had access to a high</w:t>
      </w:r>
      <w:r w:rsidR="00EA2E7E">
        <w:t xml:space="preserve"> </w:t>
      </w:r>
      <w:r>
        <w:t>value item that they could sell</w:t>
      </w:r>
      <w:r w:rsidR="00284BF2">
        <w:t>.  For married women with less education, the rates follow accordingly: secondary education, 52%; intermediate education, 31%; primary education, 21%.</w:t>
      </w:r>
    </w:p>
    <w:p w:rsidR="00D8441B" w:rsidRDefault="00D8441B" w:rsidP="00284BF2">
      <w:pPr>
        <w:spacing w:after="120" w:line="264" w:lineRule="auto"/>
        <w:ind w:firstLine="0"/>
        <w:jc w:val="both"/>
      </w:pPr>
    </w:p>
    <w:p w:rsidR="003F3C43" w:rsidRDefault="003F3C43">
      <w:pPr>
        <w:ind w:firstLine="0"/>
        <w:rPr>
          <w:sz w:val="21"/>
          <w:szCs w:val="21"/>
        </w:rPr>
      </w:pPr>
      <w:r>
        <w:rPr>
          <w:sz w:val="21"/>
          <w:szCs w:val="21"/>
        </w:rPr>
        <w:br w:type="page"/>
      </w:r>
    </w:p>
    <w:p w:rsidR="002343FE" w:rsidRPr="00D16A3A" w:rsidRDefault="00696700" w:rsidP="00284BF2">
      <w:pPr>
        <w:spacing w:after="120" w:line="264" w:lineRule="auto"/>
        <w:ind w:firstLine="0"/>
        <w:jc w:val="both"/>
        <w:rPr>
          <w:sz w:val="21"/>
          <w:szCs w:val="21"/>
        </w:rPr>
      </w:pPr>
      <w:r w:rsidRPr="00D16A3A">
        <w:rPr>
          <w:sz w:val="21"/>
          <w:szCs w:val="21"/>
        </w:rPr>
        <w:lastRenderedPageBreak/>
        <w:t>More married women who work for pay have</w:t>
      </w:r>
      <w:r w:rsidR="00284BF2" w:rsidRPr="00D16A3A">
        <w:rPr>
          <w:sz w:val="21"/>
          <w:szCs w:val="21"/>
        </w:rPr>
        <w:t xml:space="preserve"> financial saving</w:t>
      </w:r>
      <w:r w:rsidRPr="00D16A3A">
        <w:rPr>
          <w:sz w:val="21"/>
          <w:szCs w:val="21"/>
        </w:rPr>
        <w:t>s, land or property</w:t>
      </w:r>
      <w:r w:rsidR="00284BF2" w:rsidRPr="00D16A3A">
        <w:rPr>
          <w:sz w:val="21"/>
          <w:szCs w:val="21"/>
        </w:rPr>
        <w:t xml:space="preserve"> in their name, and</w:t>
      </w:r>
      <w:r w:rsidR="002343FE" w:rsidRPr="00D16A3A">
        <w:rPr>
          <w:sz w:val="21"/>
          <w:szCs w:val="21"/>
        </w:rPr>
        <w:t>/or</w:t>
      </w:r>
      <w:r w:rsidR="00284BF2" w:rsidRPr="00D16A3A">
        <w:rPr>
          <w:sz w:val="21"/>
          <w:szCs w:val="21"/>
        </w:rPr>
        <w:t xml:space="preserve"> other items of high-value, such as a car or jew</w:t>
      </w:r>
      <w:r w:rsidR="002343FE" w:rsidRPr="00D16A3A">
        <w:rPr>
          <w:sz w:val="21"/>
          <w:szCs w:val="21"/>
        </w:rPr>
        <w:t>elry, over</w:t>
      </w:r>
      <w:r w:rsidR="0050300C" w:rsidRPr="00D16A3A">
        <w:rPr>
          <w:sz w:val="21"/>
          <w:szCs w:val="21"/>
        </w:rPr>
        <w:t xml:space="preserve"> married women that do not work as shown in Figure 10.</w:t>
      </w:r>
    </w:p>
    <w:p w:rsidR="001E5B33" w:rsidRDefault="00696700" w:rsidP="000C3A19">
      <w:pPr>
        <w:pStyle w:val="ListParagraph"/>
        <w:jc w:val="both"/>
      </w:pPr>
      <w:r>
        <w:t>Married women who</w:t>
      </w:r>
      <w:r w:rsidR="001E5B33">
        <w:t xml:space="preserve"> work are more likely tha</w:t>
      </w:r>
      <w:r>
        <w:t>n women who</w:t>
      </w:r>
      <w:r w:rsidR="001E5B33">
        <w:t xml:space="preserve"> do not work to have financial savings (31% and 21% respectively) and land or an apartment with the title in their name (28% and 19% respectively).</w:t>
      </w:r>
    </w:p>
    <w:p w:rsidR="00036D01" w:rsidRDefault="00036D01" w:rsidP="00036D01">
      <w:pPr>
        <w:pStyle w:val="ListParagraph"/>
        <w:numPr>
          <w:ilvl w:val="0"/>
          <w:numId w:val="0"/>
        </w:numPr>
        <w:ind w:left="360"/>
        <w:jc w:val="both"/>
      </w:pPr>
    </w:p>
    <w:p w:rsidR="00C045BD" w:rsidRDefault="001E5B33" w:rsidP="000C3A19">
      <w:pPr>
        <w:pStyle w:val="ListParagraph"/>
        <w:jc w:val="both"/>
      </w:pPr>
      <w:r>
        <w:t>Forty-fi</w:t>
      </w:r>
      <w:r w:rsidR="00696700">
        <w:t>ve percent of married women who</w:t>
      </w:r>
      <w:r>
        <w:t xml:space="preserve"> work have items of high-value that they can sell or do as they please wit</w:t>
      </w:r>
      <w:r w:rsidR="00696700">
        <w:t>h, compared to 33% of women who</w:t>
      </w:r>
      <w:r>
        <w:t xml:space="preserve"> do not work.</w:t>
      </w:r>
    </w:p>
    <w:p w:rsidR="005A67A2" w:rsidRDefault="008F1E09" w:rsidP="005A67A2">
      <w:pPr>
        <w:pStyle w:val="ListParagraph"/>
        <w:numPr>
          <w:ilvl w:val="0"/>
          <w:numId w:val="0"/>
        </w:numPr>
        <w:ind w:left="360"/>
      </w:pPr>
      <w:r>
        <w:rPr>
          <w:noProof/>
          <w:lang w:bidi="ar-SA"/>
        </w:rPr>
        <w:drawing>
          <wp:anchor distT="0" distB="0" distL="114300" distR="114300" simplePos="0" relativeHeight="251757568" behindDoc="0" locked="0" layoutInCell="1" allowOverlap="1">
            <wp:simplePos x="0" y="0"/>
            <wp:positionH relativeFrom="column">
              <wp:posOffset>2378075</wp:posOffset>
            </wp:positionH>
            <wp:positionV relativeFrom="paragraph">
              <wp:posOffset>42545</wp:posOffset>
            </wp:positionV>
            <wp:extent cx="3902075" cy="2587625"/>
            <wp:effectExtent l="19050" t="0" r="22225" b="3175"/>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C045BD" w:rsidRDefault="00553141" w:rsidP="001E5B33">
      <w:pPr>
        <w:spacing w:after="120" w:line="264" w:lineRule="auto"/>
        <w:ind w:firstLine="0"/>
        <w:jc w:val="both"/>
      </w:pPr>
      <w:r>
        <w:t>Not surprisingly, women who earn more are significantly more likely to have financial savings, land or property in their name, and/or other items of high value</w:t>
      </w:r>
      <w:r w:rsidR="0050300C">
        <w:t xml:space="preserve"> (Figure 11)</w:t>
      </w:r>
      <w:r>
        <w:t>.</w:t>
      </w:r>
    </w:p>
    <w:p w:rsidR="00EA2E7E" w:rsidRDefault="00C045BD" w:rsidP="008F1E09">
      <w:pPr>
        <w:pStyle w:val="ListParagraph"/>
        <w:numPr>
          <w:ilvl w:val="0"/>
          <w:numId w:val="2"/>
        </w:numPr>
        <w:jc w:val="both"/>
      </w:pPr>
      <w:r>
        <w:t>Married women who earn $901 or more each month are more than five times as likely than married women who earn $300 or less, to have financial savings (63% and 12%) and almost four times as likely to have land or property in their name (47% and 12% respectively).</w:t>
      </w:r>
    </w:p>
    <w:p w:rsidR="00036D01" w:rsidRDefault="00036D01" w:rsidP="00036D01">
      <w:pPr>
        <w:pStyle w:val="ListParagraph"/>
        <w:numPr>
          <w:ilvl w:val="0"/>
          <w:numId w:val="0"/>
        </w:numPr>
        <w:ind w:left="360"/>
        <w:jc w:val="both"/>
      </w:pPr>
    </w:p>
    <w:p w:rsidR="00223A06" w:rsidRDefault="00EC28EC" w:rsidP="000905E2">
      <w:pPr>
        <w:pStyle w:val="ListParagraph"/>
        <w:jc w:val="both"/>
      </w:pPr>
      <w:r>
        <w:rPr>
          <w:noProof/>
          <w:lang w:bidi="ar-SA"/>
        </w:rPr>
        <w:drawing>
          <wp:anchor distT="0" distB="0" distL="114300" distR="114300" simplePos="0" relativeHeight="251758592" behindDoc="0" locked="0" layoutInCell="1" allowOverlap="1">
            <wp:simplePos x="0" y="0"/>
            <wp:positionH relativeFrom="column">
              <wp:posOffset>2378075</wp:posOffset>
            </wp:positionH>
            <wp:positionV relativeFrom="paragraph">
              <wp:posOffset>100965</wp:posOffset>
            </wp:positionV>
            <wp:extent cx="3903980" cy="2926080"/>
            <wp:effectExtent l="19050" t="0" r="20320" b="7620"/>
            <wp:wrapSquare wrapText="bothSides"/>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5B09B0">
        <w:t>Seventy-three percent of married women who earn more than $901 per month have access to high value items, such as a car or jewelry that they can sell, compared to 59% of women that earn between $501-900, 34% of women that earn $301-500, and 21</w:t>
      </w:r>
      <w:r w:rsidR="00C045BD">
        <w:t>%</w:t>
      </w:r>
      <w:r w:rsidR="005B09B0">
        <w:t xml:space="preserve"> of women that earn less than $300.</w:t>
      </w:r>
    </w:p>
    <w:p w:rsidR="00223A06" w:rsidRDefault="00223A06">
      <w:pPr>
        <w:ind w:firstLine="0"/>
        <w:rPr>
          <w:sz w:val="21"/>
          <w:szCs w:val="21"/>
        </w:rPr>
      </w:pPr>
      <w:r>
        <w:br w:type="page"/>
      </w:r>
    </w:p>
    <w:p w:rsidR="009D6461" w:rsidRDefault="00D8441B" w:rsidP="009D6461">
      <w:pPr>
        <w:ind w:firstLine="0"/>
        <w:jc w:val="both"/>
        <w:rPr>
          <w:sz w:val="21"/>
          <w:szCs w:val="21"/>
          <w:lang w:bidi="ar-SA"/>
        </w:rPr>
      </w:pPr>
      <w:r>
        <w:rPr>
          <w:rFonts w:ascii="Tw Cen MT" w:eastAsiaTheme="majorEastAsia" w:hAnsi="Tw Cen MT" w:cstheme="majorBidi"/>
          <w:sz w:val="32"/>
          <w:szCs w:val="36"/>
        </w:rPr>
        <w:lastRenderedPageBreak/>
        <w:t>Access to Loans and Credit</w:t>
      </w:r>
    </w:p>
    <w:p w:rsidR="00183FBE" w:rsidRPr="005419FB" w:rsidRDefault="009D6461" w:rsidP="009D6461">
      <w:pPr>
        <w:spacing w:after="120"/>
        <w:ind w:firstLine="0"/>
        <w:jc w:val="both"/>
        <w:rPr>
          <w:sz w:val="21"/>
          <w:szCs w:val="21"/>
        </w:rPr>
      </w:pPr>
      <w:r w:rsidRPr="005419FB">
        <w:rPr>
          <w:sz w:val="21"/>
          <w:szCs w:val="21"/>
        </w:rPr>
        <w:t>M</w:t>
      </w:r>
      <w:r w:rsidR="00D6315F" w:rsidRPr="005419FB">
        <w:rPr>
          <w:sz w:val="21"/>
          <w:szCs w:val="21"/>
        </w:rPr>
        <w:t xml:space="preserve">arried women </w:t>
      </w:r>
      <w:r w:rsidRPr="005419FB">
        <w:rPr>
          <w:sz w:val="21"/>
          <w:szCs w:val="21"/>
        </w:rPr>
        <w:t>who</w:t>
      </w:r>
      <w:r w:rsidR="003F39BD" w:rsidRPr="005419FB">
        <w:rPr>
          <w:sz w:val="21"/>
          <w:szCs w:val="21"/>
        </w:rPr>
        <w:t xml:space="preserve"> </w:t>
      </w:r>
      <w:r w:rsidRPr="005419FB">
        <w:rPr>
          <w:sz w:val="21"/>
          <w:szCs w:val="21"/>
        </w:rPr>
        <w:t>work</w:t>
      </w:r>
      <w:r w:rsidR="00D6315F" w:rsidRPr="005419FB">
        <w:rPr>
          <w:sz w:val="21"/>
          <w:szCs w:val="21"/>
        </w:rPr>
        <w:t xml:space="preserve"> and </w:t>
      </w:r>
      <w:r w:rsidRPr="005419FB">
        <w:rPr>
          <w:sz w:val="21"/>
          <w:szCs w:val="21"/>
        </w:rPr>
        <w:t>have high educational attainment</w:t>
      </w:r>
      <w:r w:rsidR="00D6315F" w:rsidRPr="005419FB">
        <w:rPr>
          <w:sz w:val="21"/>
          <w:szCs w:val="21"/>
        </w:rPr>
        <w:t xml:space="preserve"> and monthly</w:t>
      </w:r>
      <w:r w:rsidRPr="005419FB">
        <w:rPr>
          <w:sz w:val="21"/>
          <w:szCs w:val="21"/>
        </w:rPr>
        <w:t xml:space="preserve"> income are more likely than others to have access to credit and loans.</w:t>
      </w:r>
      <w:r w:rsidR="00232088" w:rsidRPr="005419FB">
        <w:rPr>
          <w:sz w:val="21"/>
          <w:szCs w:val="21"/>
        </w:rPr>
        <w:t xml:space="preserve"> However, when looking at age category the same trend does not follow. </w:t>
      </w:r>
      <w:r w:rsidR="003F39BD" w:rsidRPr="005419FB">
        <w:rPr>
          <w:sz w:val="21"/>
          <w:szCs w:val="21"/>
        </w:rPr>
        <w:t xml:space="preserve">  </w:t>
      </w:r>
      <w:r w:rsidR="00D6315F" w:rsidRPr="005419FB">
        <w:rPr>
          <w:sz w:val="21"/>
          <w:szCs w:val="21"/>
        </w:rPr>
        <w:t xml:space="preserve"> </w:t>
      </w:r>
    </w:p>
    <w:tbl>
      <w:tblPr>
        <w:tblpPr w:leftFromText="288" w:rightFromText="288" w:topFromText="245" w:bottomFromText="245" w:horzAnchor="margin" w:tblpXSpec="right" w:tblpYSpec="top"/>
        <w:tblOverlap w:val="never"/>
        <w:tblW w:w="5724" w:type="dxa"/>
        <w:tblLayout w:type="fixed"/>
        <w:tblCellMar>
          <w:left w:w="0" w:type="dxa"/>
          <w:right w:w="0" w:type="dxa"/>
        </w:tblCellMar>
        <w:tblLook w:val="04A0"/>
      </w:tblPr>
      <w:tblGrid>
        <w:gridCol w:w="4320"/>
        <w:gridCol w:w="1404"/>
      </w:tblGrid>
      <w:tr w:rsidR="00183FBE" w:rsidRPr="00DB420A" w:rsidTr="00183FBE">
        <w:trPr>
          <w:trHeight w:val="1080"/>
        </w:trPr>
        <w:tc>
          <w:tcPr>
            <w:tcW w:w="4320" w:type="dxa"/>
            <w:tcBorders>
              <w:top w:val="single" w:sz="8" w:space="0" w:color="FFFFFF"/>
              <w:left w:val="single" w:sz="8" w:space="0" w:color="FFFFFF"/>
              <w:bottom w:val="single" w:sz="24" w:space="0" w:color="FFFFFF"/>
              <w:right w:val="single" w:sz="8" w:space="0" w:color="FFFFFF"/>
            </w:tcBorders>
            <w:shd w:val="clear" w:color="auto" w:fill="727CA3"/>
            <w:tcMar>
              <w:top w:w="72" w:type="dxa"/>
              <w:left w:w="144" w:type="dxa"/>
              <w:bottom w:w="72" w:type="dxa"/>
              <w:right w:w="144" w:type="dxa"/>
            </w:tcMar>
            <w:hideMark/>
          </w:tcPr>
          <w:p w:rsidR="00183FBE" w:rsidRPr="005419FB" w:rsidRDefault="00183FBE" w:rsidP="00183FBE">
            <w:pPr>
              <w:spacing w:line="276" w:lineRule="auto"/>
              <w:ind w:firstLine="0"/>
              <w:rPr>
                <w:rFonts w:cs="Arial"/>
                <w:b/>
                <w:bCs/>
                <w:color w:val="FFFFFF"/>
                <w:kern w:val="24"/>
                <w:sz w:val="21"/>
                <w:szCs w:val="21"/>
                <w:lang w:bidi="ar-SA"/>
              </w:rPr>
            </w:pPr>
            <w:r w:rsidRPr="005419FB">
              <w:rPr>
                <w:rFonts w:cs="Arial"/>
                <w:b/>
                <w:bCs/>
                <w:color w:val="FFFFFF"/>
                <w:kern w:val="24"/>
                <w:sz w:val="21"/>
                <w:szCs w:val="21"/>
                <w:lang w:bidi="ar-SA"/>
              </w:rPr>
              <w:t xml:space="preserve">Table 1 </w:t>
            </w:r>
            <w:r w:rsidR="004E2FBD">
              <w:rPr>
                <w:rFonts w:cs="Arial"/>
                <w:b/>
                <w:bCs/>
                <w:color w:val="FFFFFF"/>
                <w:kern w:val="24"/>
                <w:sz w:val="21"/>
                <w:szCs w:val="21"/>
                <w:lang w:bidi="ar-SA"/>
              </w:rPr>
              <w:t>–</w:t>
            </w:r>
            <w:r w:rsidRPr="005419FB">
              <w:rPr>
                <w:rFonts w:cs="Arial"/>
                <w:b/>
                <w:bCs/>
                <w:color w:val="FFFFFF"/>
                <w:kern w:val="24"/>
                <w:sz w:val="21"/>
                <w:szCs w:val="21"/>
                <w:lang w:bidi="ar-SA"/>
              </w:rPr>
              <w:t xml:space="preserve"> </w:t>
            </w:r>
            <w:r w:rsidRPr="004E2FBD">
              <w:rPr>
                <w:rFonts w:cs="Arial"/>
                <w:b/>
                <w:bCs/>
                <w:color w:val="FFFFFF"/>
                <w:kern w:val="24"/>
                <w:sz w:val="21"/>
                <w:szCs w:val="21"/>
                <w:lang w:bidi="ar-SA"/>
              </w:rPr>
              <w:t>Can you obtain bank loans or other credit on your own, withou</w:t>
            </w:r>
            <w:r w:rsidR="004E2FBD" w:rsidRPr="004E2FBD">
              <w:rPr>
                <w:rFonts w:cs="Arial"/>
                <w:b/>
                <w:bCs/>
                <w:color w:val="FFFFFF"/>
                <w:kern w:val="24"/>
                <w:sz w:val="21"/>
                <w:szCs w:val="21"/>
                <w:lang w:bidi="ar-SA"/>
              </w:rPr>
              <w:t>t help from a spouse or parent?</w:t>
            </w:r>
          </w:p>
          <w:p w:rsidR="00183FBE" w:rsidRPr="005419FB" w:rsidRDefault="00183FBE" w:rsidP="00183FBE">
            <w:pPr>
              <w:spacing w:line="276" w:lineRule="auto"/>
              <w:ind w:firstLine="0"/>
              <w:rPr>
                <w:rFonts w:ascii="Arial" w:hAnsi="Arial" w:cs="Arial"/>
                <w:i/>
                <w:sz w:val="21"/>
                <w:szCs w:val="21"/>
                <w:lang w:bidi="ar-SA"/>
              </w:rPr>
            </w:pPr>
            <w:r w:rsidRPr="005419FB">
              <w:rPr>
                <w:rFonts w:cs="Arial"/>
                <w:bCs/>
                <w:i/>
                <w:color w:val="FFFFFF"/>
                <w:kern w:val="24"/>
                <w:sz w:val="21"/>
                <w:szCs w:val="21"/>
                <w:lang w:bidi="ar-SA"/>
              </w:rPr>
              <w:t>Percentage of currently or formerly married women responding "Yes".</w:t>
            </w:r>
            <w:r w:rsidRPr="005419FB">
              <w:rPr>
                <w:rFonts w:cs="Arial"/>
                <w:bCs/>
                <w:i/>
                <w:color w:val="FFFFFF"/>
                <w:kern w:val="24"/>
                <w:sz w:val="21"/>
                <w:szCs w:val="21"/>
                <w:lang w:bidi="ar-SA"/>
              </w:rPr>
              <w:tab/>
            </w:r>
            <w:r w:rsidRPr="005419FB">
              <w:rPr>
                <w:rFonts w:cs="Arial"/>
                <w:bCs/>
                <w:i/>
                <w:color w:val="FFFFFF"/>
                <w:kern w:val="24"/>
                <w:sz w:val="21"/>
                <w:szCs w:val="21"/>
                <w:lang w:bidi="ar-SA"/>
              </w:rPr>
              <w:tab/>
            </w:r>
          </w:p>
        </w:tc>
        <w:tc>
          <w:tcPr>
            <w:tcW w:w="1404" w:type="dxa"/>
            <w:tcBorders>
              <w:top w:val="single" w:sz="8" w:space="0" w:color="FFFFFF"/>
              <w:left w:val="single" w:sz="8" w:space="0" w:color="FFFFFF"/>
              <w:bottom w:val="single" w:sz="24" w:space="0" w:color="FFFFFF"/>
              <w:right w:val="single" w:sz="8" w:space="0" w:color="FFFFFF"/>
            </w:tcBorders>
            <w:shd w:val="clear" w:color="auto" w:fill="727CA3"/>
            <w:tcMar>
              <w:top w:w="72" w:type="dxa"/>
              <w:left w:w="144" w:type="dxa"/>
              <w:bottom w:w="72" w:type="dxa"/>
              <w:right w:w="144" w:type="dxa"/>
            </w:tcMar>
            <w:hideMark/>
          </w:tcPr>
          <w:p w:rsidR="00183FBE" w:rsidRPr="005419FB" w:rsidRDefault="00183FBE" w:rsidP="00183FBE">
            <w:pPr>
              <w:spacing w:line="276" w:lineRule="auto"/>
              <w:ind w:firstLine="0"/>
              <w:jc w:val="center"/>
              <w:rPr>
                <w:rFonts w:eastAsia="Calibri" w:cs="Arial"/>
                <w:b/>
                <w:bCs/>
                <w:color w:val="FFFFFF"/>
                <w:kern w:val="24"/>
                <w:sz w:val="21"/>
                <w:szCs w:val="21"/>
                <w:lang w:bidi="ar-SA"/>
              </w:rPr>
            </w:pPr>
            <w:r w:rsidRPr="005419FB">
              <w:rPr>
                <w:rFonts w:eastAsia="Calibri" w:cs="Arial"/>
                <w:b/>
                <w:bCs/>
                <w:color w:val="FFFFFF"/>
                <w:kern w:val="24"/>
                <w:sz w:val="21"/>
                <w:szCs w:val="21"/>
                <w:lang w:bidi="ar-SA"/>
              </w:rPr>
              <w:t>Currently or Formerly Married Women</w:t>
            </w:r>
          </w:p>
          <w:p w:rsidR="00183FBE" w:rsidRPr="005419FB" w:rsidRDefault="00183FBE" w:rsidP="00183FBE">
            <w:pPr>
              <w:spacing w:line="276" w:lineRule="auto"/>
              <w:ind w:firstLine="0"/>
              <w:jc w:val="center"/>
              <w:rPr>
                <w:rFonts w:ascii="Arial" w:hAnsi="Arial" w:cs="Arial"/>
                <w:sz w:val="21"/>
                <w:szCs w:val="21"/>
                <w:lang w:bidi="ar-SA"/>
              </w:rPr>
            </w:pPr>
            <w:r w:rsidRPr="005419FB">
              <w:rPr>
                <w:rFonts w:eastAsia="Calibri" w:cs="Arial"/>
                <w:b/>
                <w:bCs/>
                <w:color w:val="FFFFFF"/>
                <w:kern w:val="24"/>
                <w:sz w:val="21"/>
                <w:szCs w:val="21"/>
                <w:lang w:bidi="ar-SA"/>
              </w:rPr>
              <w:t>(n=1,320)</w:t>
            </w:r>
          </w:p>
        </w:tc>
      </w:tr>
      <w:tr w:rsidR="00183FBE" w:rsidRPr="00DB420A" w:rsidTr="00183FBE">
        <w:trPr>
          <w:trHeight w:val="288"/>
        </w:trPr>
        <w:tc>
          <w:tcPr>
            <w:tcW w:w="4320"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rsidR="00183FBE" w:rsidRPr="005419FB" w:rsidRDefault="00183FBE" w:rsidP="00183FBE">
            <w:pPr>
              <w:ind w:firstLine="0"/>
              <w:rPr>
                <w:b/>
                <w:sz w:val="21"/>
                <w:szCs w:val="21"/>
              </w:rPr>
            </w:pPr>
            <w:r w:rsidRPr="005419FB">
              <w:rPr>
                <w:b/>
                <w:sz w:val="21"/>
                <w:szCs w:val="21"/>
              </w:rPr>
              <w:t>Age</w:t>
            </w:r>
          </w:p>
        </w:tc>
        <w:tc>
          <w:tcPr>
            <w:tcW w:w="1404"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rsidR="00183FBE" w:rsidRPr="005419FB" w:rsidRDefault="00183FBE" w:rsidP="00183FBE">
            <w:pPr>
              <w:rPr>
                <w:sz w:val="21"/>
                <w:szCs w:val="21"/>
              </w:rPr>
            </w:pPr>
          </w:p>
        </w:tc>
      </w:tr>
      <w:tr w:rsidR="00183FBE" w:rsidRPr="00DB420A" w:rsidTr="00183FBE">
        <w:trPr>
          <w:trHeight w:val="288"/>
        </w:trPr>
        <w:tc>
          <w:tcPr>
            <w:tcW w:w="4320" w:type="dxa"/>
            <w:tcBorders>
              <w:top w:val="single" w:sz="8" w:space="0" w:color="FFFFFF"/>
              <w:left w:val="single" w:sz="8" w:space="0" w:color="FFFFFF"/>
              <w:bottom w:val="single" w:sz="8" w:space="0" w:color="FFFFFF"/>
              <w:right w:val="single" w:sz="8" w:space="0" w:color="FFFFFF"/>
            </w:tcBorders>
            <w:shd w:val="clear" w:color="auto" w:fill="EBECF0"/>
            <w:tcMar>
              <w:top w:w="15" w:type="dxa"/>
              <w:left w:w="108" w:type="dxa"/>
              <w:bottom w:w="0" w:type="dxa"/>
              <w:right w:w="108" w:type="dxa"/>
            </w:tcMar>
            <w:hideMark/>
          </w:tcPr>
          <w:p w:rsidR="00183FBE" w:rsidRPr="00905A31" w:rsidRDefault="00183FBE" w:rsidP="00183FBE">
            <w:pPr>
              <w:ind w:firstLine="0"/>
              <w:rPr>
                <w:sz w:val="21"/>
                <w:szCs w:val="21"/>
              </w:rPr>
            </w:pPr>
            <w:r w:rsidRPr="00905A31">
              <w:rPr>
                <w:sz w:val="21"/>
                <w:szCs w:val="21"/>
              </w:rPr>
              <w:t xml:space="preserve">     18 to 34 years</w:t>
            </w:r>
            <w:r w:rsidR="00905A31" w:rsidRPr="00905A31">
              <w:rPr>
                <w:sz w:val="21"/>
                <w:szCs w:val="21"/>
              </w:rPr>
              <w:t xml:space="preserve"> (n=323)</w:t>
            </w:r>
          </w:p>
        </w:tc>
        <w:tc>
          <w:tcPr>
            <w:tcW w:w="1404" w:type="dxa"/>
            <w:tcBorders>
              <w:top w:val="single" w:sz="8" w:space="0" w:color="FFFFFF"/>
              <w:left w:val="single" w:sz="8" w:space="0" w:color="FFFFFF"/>
              <w:bottom w:val="single" w:sz="8" w:space="0" w:color="FFFFFF"/>
              <w:right w:val="single" w:sz="8" w:space="0" w:color="FFFFFF"/>
            </w:tcBorders>
            <w:shd w:val="clear" w:color="auto" w:fill="EBECF0"/>
            <w:tcMar>
              <w:top w:w="15" w:type="dxa"/>
              <w:left w:w="108" w:type="dxa"/>
              <w:bottom w:w="0" w:type="dxa"/>
              <w:right w:w="108" w:type="dxa"/>
            </w:tcMar>
            <w:hideMark/>
          </w:tcPr>
          <w:p w:rsidR="00183FBE" w:rsidRPr="005419FB" w:rsidRDefault="00183FBE" w:rsidP="00183FBE">
            <w:pPr>
              <w:rPr>
                <w:sz w:val="21"/>
                <w:szCs w:val="21"/>
              </w:rPr>
            </w:pPr>
            <w:r w:rsidRPr="005419FB">
              <w:rPr>
                <w:sz w:val="21"/>
                <w:szCs w:val="21"/>
              </w:rPr>
              <w:t>23</w:t>
            </w:r>
            <w:r w:rsidR="00FA600C" w:rsidRPr="005419FB">
              <w:rPr>
                <w:sz w:val="21"/>
                <w:szCs w:val="21"/>
              </w:rPr>
              <w:t>%</w:t>
            </w:r>
          </w:p>
        </w:tc>
      </w:tr>
      <w:tr w:rsidR="00183FBE" w:rsidRPr="00DB420A" w:rsidTr="00183FBE">
        <w:trPr>
          <w:trHeight w:val="288"/>
        </w:trPr>
        <w:tc>
          <w:tcPr>
            <w:tcW w:w="432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rsidR="00183FBE" w:rsidRPr="00905A31" w:rsidRDefault="00183FBE" w:rsidP="00183FBE">
            <w:pPr>
              <w:ind w:firstLine="0"/>
              <w:rPr>
                <w:sz w:val="21"/>
                <w:szCs w:val="21"/>
              </w:rPr>
            </w:pPr>
            <w:r w:rsidRPr="00905A31">
              <w:rPr>
                <w:sz w:val="21"/>
                <w:szCs w:val="21"/>
              </w:rPr>
              <w:t xml:space="preserve">     35 to 54 years</w:t>
            </w:r>
            <w:r w:rsidR="00905A31" w:rsidRPr="00905A31">
              <w:rPr>
                <w:sz w:val="21"/>
                <w:szCs w:val="21"/>
              </w:rPr>
              <w:t xml:space="preserve"> (n=672)</w:t>
            </w:r>
          </w:p>
        </w:tc>
        <w:tc>
          <w:tcPr>
            <w:tcW w:w="140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rsidR="00183FBE" w:rsidRPr="005419FB" w:rsidRDefault="00183FBE" w:rsidP="00183FBE">
            <w:pPr>
              <w:rPr>
                <w:sz w:val="21"/>
                <w:szCs w:val="21"/>
              </w:rPr>
            </w:pPr>
            <w:r w:rsidRPr="005419FB">
              <w:rPr>
                <w:sz w:val="21"/>
                <w:szCs w:val="21"/>
              </w:rPr>
              <w:t>27</w:t>
            </w:r>
            <w:r w:rsidR="00FA600C" w:rsidRPr="005419FB">
              <w:rPr>
                <w:sz w:val="21"/>
                <w:szCs w:val="21"/>
              </w:rPr>
              <w:t>%</w:t>
            </w:r>
          </w:p>
        </w:tc>
      </w:tr>
      <w:tr w:rsidR="00183FBE" w:rsidRPr="00DB420A" w:rsidTr="00183FBE">
        <w:trPr>
          <w:trHeight w:val="288"/>
        </w:trPr>
        <w:tc>
          <w:tcPr>
            <w:tcW w:w="4320" w:type="dxa"/>
            <w:tcBorders>
              <w:top w:val="single" w:sz="8" w:space="0" w:color="FFFFFF"/>
              <w:left w:val="single" w:sz="8" w:space="0" w:color="FFFFFF"/>
              <w:bottom w:val="single" w:sz="8" w:space="0" w:color="FFFFFF"/>
              <w:right w:val="single" w:sz="8" w:space="0" w:color="FFFFFF"/>
            </w:tcBorders>
            <w:shd w:val="clear" w:color="auto" w:fill="EBECF0"/>
            <w:tcMar>
              <w:top w:w="15" w:type="dxa"/>
              <w:left w:w="108" w:type="dxa"/>
              <w:bottom w:w="0" w:type="dxa"/>
              <w:right w:w="108" w:type="dxa"/>
            </w:tcMar>
            <w:hideMark/>
          </w:tcPr>
          <w:p w:rsidR="00183FBE" w:rsidRPr="00905A31" w:rsidRDefault="00183FBE" w:rsidP="00183FBE">
            <w:pPr>
              <w:ind w:firstLine="0"/>
              <w:rPr>
                <w:sz w:val="21"/>
                <w:szCs w:val="21"/>
              </w:rPr>
            </w:pPr>
            <w:r w:rsidRPr="00905A31">
              <w:rPr>
                <w:sz w:val="21"/>
                <w:szCs w:val="21"/>
              </w:rPr>
              <w:t xml:space="preserve">     55 years or older</w:t>
            </w:r>
            <w:r w:rsidR="00905A31" w:rsidRPr="00905A31">
              <w:rPr>
                <w:sz w:val="21"/>
                <w:szCs w:val="21"/>
              </w:rPr>
              <w:t xml:space="preserve"> (n=284)</w:t>
            </w:r>
          </w:p>
        </w:tc>
        <w:tc>
          <w:tcPr>
            <w:tcW w:w="1404" w:type="dxa"/>
            <w:tcBorders>
              <w:top w:val="single" w:sz="8" w:space="0" w:color="FFFFFF"/>
              <w:left w:val="single" w:sz="8" w:space="0" w:color="FFFFFF"/>
              <w:bottom w:val="single" w:sz="8" w:space="0" w:color="FFFFFF"/>
              <w:right w:val="single" w:sz="8" w:space="0" w:color="FFFFFF"/>
            </w:tcBorders>
            <w:shd w:val="clear" w:color="auto" w:fill="EBECF0"/>
            <w:tcMar>
              <w:top w:w="15" w:type="dxa"/>
              <w:left w:w="108" w:type="dxa"/>
              <w:bottom w:w="0" w:type="dxa"/>
              <w:right w:w="108" w:type="dxa"/>
            </w:tcMar>
            <w:hideMark/>
          </w:tcPr>
          <w:p w:rsidR="00183FBE" w:rsidRPr="005419FB" w:rsidRDefault="00183FBE" w:rsidP="00183FBE">
            <w:pPr>
              <w:rPr>
                <w:sz w:val="21"/>
                <w:szCs w:val="21"/>
              </w:rPr>
            </w:pPr>
            <w:r w:rsidRPr="005419FB">
              <w:rPr>
                <w:sz w:val="21"/>
                <w:szCs w:val="21"/>
              </w:rPr>
              <w:t>15</w:t>
            </w:r>
            <w:r w:rsidR="00FA600C" w:rsidRPr="005419FB">
              <w:rPr>
                <w:sz w:val="21"/>
                <w:szCs w:val="21"/>
              </w:rPr>
              <w:t>%</w:t>
            </w:r>
          </w:p>
        </w:tc>
      </w:tr>
      <w:tr w:rsidR="00183FBE" w:rsidRPr="00DB420A" w:rsidTr="00183FBE">
        <w:trPr>
          <w:trHeight w:val="288"/>
        </w:trPr>
        <w:tc>
          <w:tcPr>
            <w:tcW w:w="432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rsidR="00183FBE" w:rsidRPr="005419FB" w:rsidRDefault="00183FBE" w:rsidP="00183FBE">
            <w:pPr>
              <w:ind w:firstLine="0"/>
              <w:rPr>
                <w:b/>
                <w:sz w:val="21"/>
                <w:szCs w:val="21"/>
              </w:rPr>
            </w:pPr>
            <w:r w:rsidRPr="005419FB">
              <w:rPr>
                <w:b/>
                <w:sz w:val="21"/>
                <w:szCs w:val="21"/>
              </w:rPr>
              <w:t>Educational Attainment</w:t>
            </w:r>
          </w:p>
        </w:tc>
        <w:tc>
          <w:tcPr>
            <w:tcW w:w="140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rsidR="00183FBE" w:rsidRPr="005419FB" w:rsidRDefault="00183FBE" w:rsidP="00183FBE">
            <w:pPr>
              <w:rPr>
                <w:sz w:val="21"/>
                <w:szCs w:val="21"/>
              </w:rPr>
            </w:pPr>
          </w:p>
        </w:tc>
      </w:tr>
      <w:tr w:rsidR="00183FBE" w:rsidRPr="00DB420A" w:rsidTr="00183FBE">
        <w:trPr>
          <w:trHeight w:val="288"/>
        </w:trPr>
        <w:tc>
          <w:tcPr>
            <w:tcW w:w="4320" w:type="dxa"/>
            <w:tcBorders>
              <w:top w:val="single" w:sz="8" w:space="0" w:color="FFFFFF"/>
              <w:left w:val="single" w:sz="8" w:space="0" w:color="FFFFFF"/>
              <w:bottom w:val="single" w:sz="8" w:space="0" w:color="FFFFFF"/>
              <w:right w:val="single" w:sz="8" w:space="0" w:color="FFFFFF"/>
            </w:tcBorders>
            <w:shd w:val="clear" w:color="auto" w:fill="EBECF0"/>
            <w:tcMar>
              <w:top w:w="15" w:type="dxa"/>
              <w:left w:w="108" w:type="dxa"/>
              <w:bottom w:w="0" w:type="dxa"/>
              <w:right w:w="108" w:type="dxa"/>
            </w:tcMar>
            <w:hideMark/>
          </w:tcPr>
          <w:p w:rsidR="00183FBE" w:rsidRPr="00905A31" w:rsidRDefault="00183FBE" w:rsidP="00183FBE">
            <w:pPr>
              <w:ind w:firstLine="0"/>
              <w:rPr>
                <w:sz w:val="21"/>
                <w:szCs w:val="21"/>
              </w:rPr>
            </w:pPr>
            <w:r w:rsidRPr="00905A31">
              <w:rPr>
                <w:sz w:val="21"/>
                <w:szCs w:val="21"/>
              </w:rPr>
              <w:t xml:space="preserve">     Less than primary completion</w:t>
            </w:r>
            <w:r w:rsidR="00905A31" w:rsidRPr="00905A31">
              <w:rPr>
                <w:sz w:val="21"/>
                <w:szCs w:val="21"/>
              </w:rPr>
              <w:t xml:space="preserve"> (n=163)</w:t>
            </w:r>
          </w:p>
        </w:tc>
        <w:tc>
          <w:tcPr>
            <w:tcW w:w="1404" w:type="dxa"/>
            <w:tcBorders>
              <w:top w:val="single" w:sz="8" w:space="0" w:color="FFFFFF"/>
              <w:left w:val="single" w:sz="8" w:space="0" w:color="FFFFFF"/>
              <w:bottom w:val="single" w:sz="8" w:space="0" w:color="FFFFFF"/>
              <w:right w:val="single" w:sz="8" w:space="0" w:color="FFFFFF"/>
            </w:tcBorders>
            <w:shd w:val="clear" w:color="auto" w:fill="EBECF0"/>
            <w:tcMar>
              <w:top w:w="15" w:type="dxa"/>
              <w:left w:w="108" w:type="dxa"/>
              <w:bottom w:w="0" w:type="dxa"/>
              <w:right w:w="108" w:type="dxa"/>
            </w:tcMar>
            <w:hideMark/>
          </w:tcPr>
          <w:p w:rsidR="00183FBE" w:rsidRPr="005419FB" w:rsidRDefault="00183FBE" w:rsidP="00183FBE">
            <w:pPr>
              <w:rPr>
                <w:sz w:val="21"/>
                <w:szCs w:val="21"/>
              </w:rPr>
            </w:pPr>
            <w:r w:rsidRPr="005419FB">
              <w:rPr>
                <w:sz w:val="21"/>
                <w:szCs w:val="21"/>
              </w:rPr>
              <w:t>9</w:t>
            </w:r>
            <w:r w:rsidR="00FA600C" w:rsidRPr="005419FB">
              <w:rPr>
                <w:sz w:val="21"/>
                <w:szCs w:val="21"/>
              </w:rPr>
              <w:t>%</w:t>
            </w:r>
          </w:p>
        </w:tc>
      </w:tr>
      <w:tr w:rsidR="00183FBE" w:rsidRPr="00DB420A" w:rsidTr="00183FBE">
        <w:trPr>
          <w:trHeight w:val="288"/>
        </w:trPr>
        <w:tc>
          <w:tcPr>
            <w:tcW w:w="432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rsidR="00183FBE" w:rsidRPr="00905A31" w:rsidRDefault="00183FBE" w:rsidP="00183FBE">
            <w:pPr>
              <w:ind w:firstLine="0"/>
              <w:rPr>
                <w:sz w:val="21"/>
                <w:szCs w:val="21"/>
              </w:rPr>
            </w:pPr>
            <w:r w:rsidRPr="00905A31">
              <w:rPr>
                <w:sz w:val="21"/>
                <w:szCs w:val="21"/>
              </w:rPr>
              <w:t xml:space="preserve">     Primary</w:t>
            </w:r>
            <w:r w:rsidR="00905A31" w:rsidRPr="00905A31">
              <w:rPr>
                <w:sz w:val="21"/>
                <w:szCs w:val="21"/>
              </w:rPr>
              <w:t xml:space="preserve"> (n=336)</w:t>
            </w:r>
          </w:p>
        </w:tc>
        <w:tc>
          <w:tcPr>
            <w:tcW w:w="140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rsidR="00183FBE" w:rsidRPr="005419FB" w:rsidRDefault="00183FBE" w:rsidP="00183FBE">
            <w:pPr>
              <w:rPr>
                <w:sz w:val="21"/>
                <w:szCs w:val="21"/>
              </w:rPr>
            </w:pPr>
            <w:r w:rsidRPr="005419FB">
              <w:rPr>
                <w:sz w:val="21"/>
                <w:szCs w:val="21"/>
              </w:rPr>
              <w:t>10</w:t>
            </w:r>
            <w:r w:rsidR="00FA600C" w:rsidRPr="005419FB">
              <w:rPr>
                <w:sz w:val="21"/>
                <w:szCs w:val="21"/>
              </w:rPr>
              <w:t>%</w:t>
            </w:r>
          </w:p>
        </w:tc>
      </w:tr>
      <w:tr w:rsidR="00183FBE" w:rsidRPr="00DB420A" w:rsidTr="00183FBE">
        <w:trPr>
          <w:trHeight w:val="288"/>
        </w:trPr>
        <w:tc>
          <w:tcPr>
            <w:tcW w:w="4320" w:type="dxa"/>
            <w:tcBorders>
              <w:top w:val="single" w:sz="8" w:space="0" w:color="FFFFFF"/>
              <w:left w:val="single" w:sz="8" w:space="0" w:color="FFFFFF"/>
              <w:bottom w:val="single" w:sz="8" w:space="0" w:color="FFFFFF"/>
              <w:right w:val="single" w:sz="8" w:space="0" w:color="FFFFFF"/>
            </w:tcBorders>
            <w:shd w:val="clear" w:color="auto" w:fill="EBECF0"/>
            <w:tcMar>
              <w:top w:w="15" w:type="dxa"/>
              <w:left w:w="108" w:type="dxa"/>
              <w:bottom w:w="0" w:type="dxa"/>
              <w:right w:w="108" w:type="dxa"/>
            </w:tcMar>
            <w:hideMark/>
          </w:tcPr>
          <w:p w:rsidR="00183FBE" w:rsidRPr="00905A31" w:rsidRDefault="00183FBE" w:rsidP="00183FBE">
            <w:pPr>
              <w:ind w:firstLine="0"/>
              <w:rPr>
                <w:sz w:val="21"/>
                <w:szCs w:val="21"/>
              </w:rPr>
            </w:pPr>
            <w:r w:rsidRPr="00905A31">
              <w:rPr>
                <w:sz w:val="21"/>
                <w:szCs w:val="21"/>
              </w:rPr>
              <w:t xml:space="preserve">     Intermediate </w:t>
            </w:r>
            <w:r w:rsidR="00905A31" w:rsidRPr="00905A31">
              <w:rPr>
                <w:sz w:val="21"/>
                <w:szCs w:val="21"/>
              </w:rPr>
              <w:t>(n=344)</w:t>
            </w:r>
          </w:p>
        </w:tc>
        <w:tc>
          <w:tcPr>
            <w:tcW w:w="1404" w:type="dxa"/>
            <w:tcBorders>
              <w:top w:val="single" w:sz="8" w:space="0" w:color="FFFFFF"/>
              <w:left w:val="single" w:sz="8" w:space="0" w:color="FFFFFF"/>
              <w:bottom w:val="single" w:sz="8" w:space="0" w:color="FFFFFF"/>
              <w:right w:val="single" w:sz="8" w:space="0" w:color="FFFFFF"/>
            </w:tcBorders>
            <w:shd w:val="clear" w:color="auto" w:fill="EBECF0"/>
            <w:tcMar>
              <w:top w:w="15" w:type="dxa"/>
              <w:left w:w="108" w:type="dxa"/>
              <w:bottom w:w="0" w:type="dxa"/>
              <w:right w:w="108" w:type="dxa"/>
            </w:tcMar>
            <w:hideMark/>
          </w:tcPr>
          <w:p w:rsidR="00183FBE" w:rsidRPr="005419FB" w:rsidRDefault="00183FBE" w:rsidP="00183FBE">
            <w:pPr>
              <w:rPr>
                <w:sz w:val="21"/>
                <w:szCs w:val="21"/>
              </w:rPr>
            </w:pPr>
            <w:r w:rsidRPr="005419FB">
              <w:rPr>
                <w:sz w:val="21"/>
                <w:szCs w:val="21"/>
              </w:rPr>
              <w:t>20</w:t>
            </w:r>
            <w:r w:rsidR="00FA600C" w:rsidRPr="005419FB">
              <w:rPr>
                <w:sz w:val="21"/>
                <w:szCs w:val="21"/>
              </w:rPr>
              <w:t>%</w:t>
            </w:r>
          </w:p>
        </w:tc>
      </w:tr>
      <w:tr w:rsidR="00183FBE" w:rsidRPr="00DB420A" w:rsidTr="00183FBE">
        <w:trPr>
          <w:trHeight w:val="288"/>
        </w:trPr>
        <w:tc>
          <w:tcPr>
            <w:tcW w:w="432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rsidR="00183FBE" w:rsidRPr="00905A31" w:rsidRDefault="00183FBE" w:rsidP="00183FBE">
            <w:pPr>
              <w:ind w:firstLine="0"/>
              <w:rPr>
                <w:sz w:val="21"/>
                <w:szCs w:val="21"/>
              </w:rPr>
            </w:pPr>
            <w:r w:rsidRPr="00905A31">
              <w:rPr>
                <w:sz w:val="21"/>
                <w:szCs w:val="21"/>
              </w:rPr>
              <w:t xml:space="preserve">     Secondary </w:t>
            </w:r>
            <w:r w:rsidR="00905A31" w:rsidRPr="00905A31">
              <w:rPr>
                <w:sz w:val="21"/>
                <w:szCs w:val="21"/>
              </w:rPr>
              <w:t>(n=274)</w:t>
            </w:r>
          </w:p>
        </w:tc>
        <w:tc>
          <w:tcPr>
            <w:tcW w:w="140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rsidR="00183FBE" w:rsidRPr="005419FB" w:rsidRDefault="00183FBE" w:rsidP="00183FBE">
            <w:pPr>
              <w:rPr>
                <w:sz w:val="21"/>
                <w:szCs w:val="21"/>
              </w:rPr>
            </w:pPr>
            <w:r w:rsidRPr="005419FB">
              <w:rPr>
                <w:sz w:val="21"/>
                <w:szCs w:val="21"/>
              </w:rPr>
              <w:t>35</w:t>
            </w:r>
            <w:r w:rsidR="00FA600C" w:rsidRPr="005419FB">
              <w:rPr>
                <w:sz w:val="21"/>
                <w:szCs w:val="21"/>
              </w:rPr>
              <w:t>%</w:t>
            </w:r>
          </w:p>
        </w:tc>
      </w:tr>
      <w:tr w:rsidR="00183FBE" w:rsidRPr="00DB420A" w:rsidTr="00183FBE">
        <w:trPr>
          <w:trHeight w:val="288"/>
        </w:trPr>
        <w:tc>
          <w:tcPr>
            <w:tcW w:w="4320" w:type="dxa"/>
            <w:tcBorders>
              <w:top w:val="single" w:sz="8" w:space="0" w:color="FFFFFF"/>
              <w:left w:val="single" w:sz="8" w:space="0" w:color="FFFFFF"/>
              <w:bottom w:val="single" w:sz="8" w:space="0" w:color="FFFFFF"/>
              <w:right w:val="single" w:sz="8" w:space="0" w:color="FFFFFF"/>
            </w:tcBorders>
            <w:shd w:val="clear" w:color="auto" w:fill="EBECF0"/>
            <w:tcMar>
              <w:top w:w="15" w:type="dxa"/>
              <w:left w:w="108" w:type="dxa"/>
              <w:bottom w:w="0" w:type="dxa"/>
              <w:right w:w="108" w:type="dxa"/>
            </w:tcMar>
            <w:hideMark/>
          </w:tcPr>
          <w:p w:rsidR="00183FBE" w:rsidRPr="00905A31" w:rsidRDefault="00183FBE" w:rsidP="00183FBE">
            <w:pPr>
              <w:ind w:firstLine="0"/>
              <w:rPr>
                <w:sz w:val="21"/>
                <w:szCs w:val="21"/>
              </w:rPr>
            </w:pPr>
            <w:r w:rsidRPr="00905A31">
              <w:rPr>
                <w:sz w:val="21"/>
                <w:szCs w:val="21"/>
              </w:rPr>
              <w:t xml:space="preserve">     University or higher </w:t>
            </w:r>
            <w:r w:rsidR="00905A31" w:rsidRPr="00905A31">
              <w:rPr>
                <w:sz w:val="21"/>
                <w:szCs w:val="21"/>
              </w:rPr>
              <w:t>(n=150)</w:t>
            </w:r>
          </w:p>
        </w:tc>
        <w:tc>
          <w:tcPr>
            <w:tcW w:w="1404" w:type="dxa"/>
            <w:tcBorders>
              <w:top w:val="single" w:sz="8" w:space="0" w:color="FFFFFF"/>
              <w:left w:val="single" w:sz="8" w:space="0" w:color="FFFFFF"/>
              <w:bottom w:val="single" w:sz="8" w:space="0" w:color="FFFFFF"/>
              <w:right w:val="single" w:sz="8" w:space="0" w:color="FFFFFF"/>
            </w:tcBorders>
            <w:shd w:val="clear" w:color="auto" w:fill="EBECF0"/>
            <w:tcMar>
              <w:top w:w="15" w:type="dxa"/>
              <w:left w:w="108" w:type="dxa"/>
              <w:bottom w:w="0" w:type="dxa"/>
              <w:right w:w="108" w:type="dxa"/>
            </w:tcMar>
            <w:hideMark/>
          </w:tcPr>
          <w:p w:rsidR="00183FBE" w:rsidRPr="005419FB" w:rsidRDefault="00183FBE" w:rsidP="00183FBE">
            <w:pPr>
              <w:rPr>
                <w:sz w:val="21"/>
                <w:szCs w:val="21"/>
              </w:rPr>
            </w:pPr>
            <w:r w:rsidRPr="005419FB">
              <w:rPr>
                <w:sz w:val="21"/>
                <w:szCs w:val="21"/>
              </w:rPr>
              <w:t>59</w:t>
            </w:r>
            <w:r w:rsidR="00FA600C" w:rsidRPr="005419FB">
              <w:rPr>
                <w:sz w:val="21"/>
                <w:szCs w:val="21"/>
              </w:rPr>
              <w:t>%</w:t>
            </w:r>
          </w:p>
        </w:tc>
      </w:tr>
      <w:tr w:rsidR="00183FBE" w:rsidRPr="00DB420A" w:rsidTr="00183FBE">
        <w:trPr>
          <w:trHeight w:val="288"/>
        </w:trPr>
        <w:tc>
          <w:tcPr>
            <w:tcW w:w="432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rsidR="00183FBE" w:rsidRPr="005419FB" w:rsidRDefault="00183FBE" w:rsidP="00183FBE">
            <w:pPr>
              <w:ind w:firstLine="0"/>
              <w:rPr>
                <w:b/>
                <w:sz w:val="21"/>
                <w:szCs w:val="21"/>
              </w:rPr>
            </w:pPr>
            <w:r w:rsidRPr="005419FB">
              <w:rPr>
                <w:b/>
                <w:sz w:val="21"/>
                <w:szCs w:val="21"/>
              </w:rPr>
              <w:t>Working for Pay</w:t>
            </w:r>
          </w:p>
        </w:tc>
        <w:tc>
          <w:tcPr>
            <w:tcW w:w="140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rsidR="00183FBE" w:rsidRPr="005419FB" w:rsidRDefault="00183FBE" w:rsidP="00183FBE">
            <w:pPr>
              <w:rPr>
                <w:sz w:val="21"/>
                <w:szCs w:val="21"/>
              </w:rPr>
            </w:pPr>
          </w:p>
        </w:tc>
      </w:tr>
      <w:tr w:rsidR="00183FBE" w:rsidRPr="00DB420A" w:rsidTr="00183FBE">
        <w:trPr>
          <w:trHeight w:val="288"/>
        </w:trPr>
        <w:tc>
          <w:tcPr>
            <w:tcW w:w="4320" w:type="dxa"/>
            <w:tcBorders>
              <w:top w:val="single" w:sz="8" w:space="0" w:color="FFFFFF"/>
              <w:left w:val="single" w:sz="8" w:space="0" w:color="FFFFFF"/>
              <w:bottom w:val="single" w:sz="8" w:space="0" w:color="FFFFFF"/>
              <w:right w:val="single" w:sz="8" w:space="0" w:color="FFFFFF"/>
            </w:tcBorders>
            <w:shd w:val="clear" w:color="auto" w:fill="EBECF0"/>
            <w:tcMar>
              <w:top w:w="15" w:type="dxa"/>
              <w:left w:w="108" w:type="dxa"/>
              <w:bottom w:w="0" w:type="dxa"/>
              <w:right w:w="108" w:type="dxa"/>
            </w:tcMar>
            <w:hideMark/>
          </w:tcPr>
          <w:p w:rsidR="00183FBE" w:rsidRPr="00905A31" w:rsidRDefault="00183FBE" w:rsidP="00183FBE">
            <w:pPr>
              <w:ind w:firstLine="0"/>
              <w:rPr>
                <w:sz w:val="21"/>
                <w:szCs w:val="21"/>
              </w:rPr>
            </w:pPr>
            <w:r w:rsidRPr="00905A31">
              <w:rPr>
                <w:sz w:val="21"/>
                <w:szCs w:val="21"/>
              </w:rPr>
              <w:t xml:space="preserve">     Yes</w:t>
            </w:r>
            <w:r w:rsidR="00905A31" w:rsidRPr="00905A31">
              <w:rPr>
                <w:sz w:val="21"/>
                <w:szCs w:val="21"/>
              </w:rPr>
              <w:t xml:space="preserve"> (n=333)</w:t>
            </w:r>
          </w:p>
        </w:tc>
        <w:tc>
          <w:tcPr>
            <w:tcW w:w="1404" w:type="dxa"/>
            <w:tcBorders>
              <w:top w:val="single" w:sz="8" w:space="0" w:color="FFFFFF"/>
              <w:left w:val="single" w:sz="8" w:space="0" w:color="FFFFFF"/>
              <w:bottom w:val="single" w:sz="8" w:space="0" w:color="FFFFFF"/>
              <w:right w:val="single" w:sz="8" w:space="0" w:color="FFFFFF"/>
            </w:tcBorders>
            <w:shd w:val="clear" w:color="auto" w:fill="EBECF0"/>
            <w:tcMar>
              <w:top w:w="15" w:type="dxa"/>
              <w:left w:w="108" w:type="dxa"/>
              <w:bottom w:w="0" w:type="dxa"/>
              <w:right w:w="108" w:type="dxa"/>
            </w:tcMar>
            <w:hideMark/>
          </w:tcPr>
          <w:p w:rsidR="00183FBE" w:rsidRPr="005419FB" w:rsidRDefault="00183FBE" w:rsidP="00183FBE">
            <w:pPr>
              <w:rPr>
                <w:sz w:val="21"/>
                <w:szCs w:val="21"/>
              </w:rPr>
            </w:pPr>
            <w:r w:rsidRPr="005419FB">
              <w:rPr>
                <w:sz w:val="21"/>
                <w:szCs w:val="21"/>
              </w:rPr>
              <w:t>46</w:t>
            </w:r>
            <w:r w:rsidR="00FA600C" w:rsidRPr="005419FB">
              <w:rPr>
                <w:sz w:val="21"/>
                <w:szCs w:val="21"/>
              </w:rPr>
              <w:t>%</w:t>
            </w:r>
          </w:p>
        </w:tc>
      </w:tr>
      <w:tr w:rsidR="00183FBE" w:rsidRPr="00DB420A" w:rsidTr="00183FBE">
        <w:trPr>
          <w:trHeight w:val="288"/>
        </w:trPr>
        <w:tc>
          <w:tcPr>
            <w:tcW w:w="432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rsidR="00183FBE" w:rsidRPr="00905A31" w:rsidRDefault="00183FBE" w:rsidP="00183FBE">
            <w:pPr>
              <w:ind w:firstLine="0"/>
              <w:rPr>
                <w:sz w:val="21"/>
                <w:szCs w:val="21"/>
              </w:rPr>
            </w:pPr>
            <w:r w:rsidRPr="00905A31">
              <w:rPr>
                <w:sz w:val="21"/>
                <w:szCs w:val="21"/>
              </w:rPr>
              <w:t xml:space="preserve">     No</w:t>
            </w:r>
            <w:r w:rsidR="00905A31" w:rsidRPr="00905A31">
              <w:rPr>
                <w:sz w:val="21"/>
                <w:szCs w:val="21"/>
              </w:rPr>
              <w:t xml:space="preserve"> (n=943)</w:t>
            </w:r>
          </w:p>
        </w:tc>
        <w:tc>
          <w:tcPr>
            <w:tcW w:w="140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rsidR="00183FBE" w:rsidRPr="005419FB" w:rsidRDefault="00183FBE" w:rsidP="00183FBE">
            <w:pPr>
              <w:rPr>
                <w:sz w:val="21"/>
                <w:szCs w:val="21"/>
              </w:rPr>
            </w:pPr>
            <w:r w:rsidRPr="005419FB">
              <w:rPr>
                <w:sz w:val="21"/>
                <w:szCs w:val="21"/>
              </w:rPr>
              <w:t>16</w:t>
            </w:r>
            <w:r w:rsidR="00FA600C" w:rsidRPr="005419FB">
              <w:rPr>
                <w:sz w:val="21"/>
                <w:szCs w:val="21"/>
              </w:rPr>
              <w:t>%</w:t>
            </w:r>
          </w:p>
        </w:tc>
      </w:tr>
      <w:tr w:rsidR="00183FBE" w:rsidRPr="00DB420A" w:rsidTr="00183FBE">
        <w:trPr>
          <w:trHeight w:val="288"/>
        </w:trPr>
        <w:tc>
          <w:tcPr>
            <w:tcW w:w="4320" w:type="dxa"/>
            <w:tcBorders>
              <w:top w:val="single" w:sz="8" w:space="0" w:color="FFFFFF"/>
              <w:left w:val="single" w:sz="8" w:space="0" w:color="FFFFFF"/>
              <w:bottom w:val="single" w:sz="8" w:space="0" w:color="FFFFFF"/>
              <w:right w:val="single" w:sz="8" w:space="0" w:color="FFFFFF"/>
            </w:tcBorders>
            <w:shd w:val="clear" w:color="auto" w:fill="EBECF0"/>
            <w:tcMar>
              <w:top w:w="15" w:type="dxa"/>
              <w:left w:w="108" w:type="dxa"/>
              <w:bottom w:w="0" w:type="dxa"/>
              <w:right w:w="108" w:type="dxa"/>
            </w:tcMar>
            <w:hideMark/>
          </w:tcPr>
          <w:p w:rsidR="00183FBE" w:rsidRPr="005419FB" w:rsidRDefault="00183FBE" w:rsidP="00183FBE">
            <w:pPr>
              <w:ind w:firstLine="0"/>
              <w:rPr>
                <w:b/>
                <w:sz w:val="21"/>
                <w:szCs w:val="21"/>
              </w:rPr>
            </w:pPr>
            <w:r w:rsidRPr="005419FB">
              <w:rPr>
                <w:b/>
                <w:sz w:val="21"/>
                <w:szCs w:val="21"/>
              </w:rPr>
              <w:t>Monthly Earnings (among those working for pay)</w:t>
            </w:r>
          </w:p>
        </w:tc>
        <w:tc>
          <w:tcPr>
            <w:tcW w:w="1404" w:type="dxa"/>
            <w:tcBorders>
              <w:top w:val="single" w:sz="8" w:space="0" w:color="FFFFFF"/>
              <w:left w:val="single" w:sz="8" w:space="0" w:color="FFFFFF"/>
              <w:bottom w:val="single" w:sz="8" w:space="0" w:color="FFFFFF"/>
              <w:right w:val="single" w:sz="8" w:space="0" w:color="FFFFFF"/>
            </w:tcBorders>
            <w:shd w:val="clear" w:color="auto" w:fill="EBECF0"/>
            <w:tcMar>
              <w:top w:w="15" w:type="dxa"/>
              <w:left w:w="108" w:type="dxa"/>
              <w:bottom w:w="0" w:type="dxa"/>
              <w:right w:w="108" w:type="dxa"/>
            </w:tcMar>
            <w:hideMark/>
          </w:tcPr>
          <w:p w:rsidR="00183FBE" w:rsidRPr="005419FB" w:rsidRDefault="00183FBE" w:rsidP="00183FBE">
            <w:pPr>
              <w:rPr>
                <w:sz w:val="21"/>
                <w:szCs w:val="21"/>
              </w:rPr>
            </w:pPr>
          </w:p>
        </w:tc>
      </w:tr>
      <w:tr w:rsidR="00183FBE" w:rsidRPr="00DB420A" w:rsidTr="00183FBE">
        <w:trPr>
          <w:trHeight w:val="288"/>
        </w:trPr>
        <w:tc>
          <w:tcPr>
            <w:tcW w:w="432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rsidR="00183FBE" w:rsidRPr="00905A31" w:rsidRDefault="00905A31" w:rsidP="00183FBE">
            <w:pPr>
              <w:ind w:firstLine="0"/>
              <w:rPr>
                <w:sz w:val="21"/>
                <w:szCs w:val="21"/>
              </w:rPr>
            </w:pPr>
            <w:r w:rsidRPr="00905A31">
              <w:rPr>
                <w:sz w:val="21"/>
                <w:szCs w:val="21"/>
              </w:rPr>
              <w:t xml:space="preserve">     $300 or less (n=66)   </w:t>
            </w:r>
            <w:r w:rsidR="00183FBE" w:rsidRPr="00905A31">
              <w:rPr>
                <w:sz w:val="21"/>
                <w:szCs w:val="21"/>
              </w:rPr>
              <w:t xml:space="preserve">  </w:t>
            </w:r>
            <w:r w:rsidRPr="00905A31">
              <w:rPr>
                <w:sz w:val="21"/>
                <w:szCs w:val="21"/>
              </w:rPr>
              <w:t xml:space="preserve"> </w:t>
            </w:r>
          </w:p>
        </w:tc>
        <w:tc>
          <w:tcPr>
            <w:tcW w:w="140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rsidR="00183FBE" w:rsidRPr="005419FB" w:rsidRDefault="00183FBE" w:rsidP="00183FBE">
            <w:pPr>
              <w:rPr>
                <w:sz w:val="21"/>
                <w:szCs w:val="21"/>
              </w:rPr>
            </w:pPr>
            <w:r w:rsidRPr="005419FB">
              <w:rPr>
                <w:sz w:val="21"/>
                <w:szCs w:val="21"/>
              </w:rPr>
              <w:t>14</w:t>
            </w:r>
            <w:r w:rsidR="00FA600C" w:rsidRPr="005419FB">
              <w:rPr>
                <w:sz w:val="21"/>
                <w:szCs w:val="21"/>
              </w:rPr>
              <w:t>%</w:t>
            </w:r>
          </w:p>
        </w:tc>
      </w:tr>
      <w:tr w:rsidR="00183FBE" w:rsidRPr="00DB420A" w:rsidTr="00183FBE">
        <w:trPr>
          <w:trHeight w:val="288"/>
        </w:trPr>
        <w:tc>
          <w:tcPr>
            <w:tcW w:w="4320" w:type="dxa"/>
            <w:tcBorders>
              <w:top w:val="single" w:sz="8" w:space="0" w:color="FFFFFF"/>
              <w:left w:val="single" w:sz="8" w:space="0" w:color="FFFFFF"/>
              <w:bottom w:val="single" w:sz="8" w:space="0" w:color="FFFFFF"/>
              <w:right w:val="single" w:sz="8" w:space="0" w:color="FFFFFF"/>
            </w:tcBorders>
            <w:shd w:val="clear" w:color="auto" w:fill="EBECF0"/>
            <w:tcMar>
              <w:top w:w="15" w:type="dxa"/>
              <w:left w:w="108" w:type="dxa"/>
              <w:bottom w:w="0" w:type="dxa"/>
              <w:right w:w="108" w:type="dxa"/>
            </w:tcMar>
            <w:hideMark/>
          </w:tcPr>
          <w:p w:rsidR="00183FBE" w:rsidRPr="00905A31" w:rsidRDefault="00183FBE" w:rsidP="00183FBE">
            <w:pPr>
              <w:ind w:firstLine="0"/>
              <w:rPr>
                <w:sz w:val="21"/>
                <w:szCs w:val="21"/>
              </w:rPr>
            </w:pPr>
            <w:r w:rsidRPr="00905A31">
              <w:rPr>
                <w:sz w:val="21"/>
                <w:szCs w:val="21"/>
              </w:rPr>
              <w:t xml:space="preserve">     $301-500</w:t>
            </w:r>
            <w:r w:rsidR="00905A31" w:rsidRPr="00905A31">
              <w:rPr>
                <w:sz w:val="21"/>
                <w:szCs w:val="21"/>
              </w:rPr>
              <w:t xml:space="preserve"> (n=108)</w:t>
            </w:r>
          </w:p>
        </w:tc>
        <w:tc>
          <w:tcPr>
            <w:tcW w:w="1404" w:type="dxa"/>
            <w:tcBorders>
              <w:top w:val="single" w:sz="8" w:space="0" w:color="FFFFFF"/>
              <w:left w:val="single" w:sz="8" w:space="0" w:color="FFFFFF"/>
              <w:bottom w:val="single" w:sz="8" w:space="0" w:color="FFFFFF"/>
              <w:right w:val="single" w:sz="8" w:space="0" w:color="FFFFFF"/>
            </w:tcBorders>
            <w:shd w:val="clear" w:color="auto" w:fill="EBECF0"/>
            <w:tcMar>
              <w:top w:w="15" w:type="dxa"/>
              <w:left w:w="108" w:type="dxa"/>
              <w:bottom w:w="0" w:type="dxa"/>
              <w:right w:w="108" w:type="dxa"/>
            </w:tcMar>
            <w:hideMark/>
          </w:tcPr>
          <w:p w:rsidR="00183FBE" w:rsidRPr="005419FB" w:rsidRDefault="00183FBE" w:rsidP="00183FBE">
            <w:pPr>
              <w:rPr>
                <w:sz w:val="21"/>
                <w:szCs w:val="21"/>
              </w:rPr>
            </w:pPr>
            <w:r w:rsidRPr="005419FB">
              <w:rPr>
                <w:sz w:val="21"/>
                <w:szCs w:val="21"/>
              </w:rPr>
              <w:t>45</w:t>
            </w:r>
            <w:r w:rsidR="00FA600C" w:rsidRPr="005419FB">
              <w:rPr>
                <w:sz w:val="21"/>
                <w:szCs w:val="21"/>
              </w:rPr>
              <w:t>%</w:t>
            </w:r>
          </w:p>
        </w:tc>
      </w:tr>
      <w:tr w:rsidR="00183FBE" w:rsidRPr="00DB420A" w:rsidTr="00183FBE">
        <w:trPr>
          <w:trHeight w:val="288"/>
        </w:trPr>
        <w:tc>
          <w:tcPr>
            <w:tcW w:w="432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rsidR="00183FBE" w:rsidRPr="00905A31" w:rsidRDefault="00183FBE" w:rsidP="00183FBE">
            <w:pPr>
              <w:ind w:firstLine="0"/>
              <w:rPr>
                <w:sz w:val="21"/>
                <w:szCs w:val="21"/>
              </w:rPr>
            </w:pPr>
            <w:r w:rsidRPr="00905A31">
              <w:rPr>
                <w:sz w:val="21"/>
                <w:szCs w:val="21"/>
              </w:rPr>
              <w:t xml:space="preserve">     $501-900</w:t>
            </w:r>
            <w:r w:rsidR="00905A31" w:rsidRPr="00905A31">
              <w:rPr>
                <w:sz w:val="21"/>
                <w:szCs w:val="21"/>
              </w:rPr>
              <w:t xml:space="preserve"> (n=90)</w:t>
            </w:r>
          </w:p>
        </w:tc>
        <w:tc>
          <w:tcPr>
            <w:tcW w:w="140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rsidR="00183FBE" w:rsidRPr="005419FB" w:rsidRDefault="00183FBE" w:rsidP="00183FBE">
            <w:pPr>
              <w:rPr>
                <w:sz w:val="21"/>
                <w:szCs w:val="21"/>
              </w:rPr>
            </w:pPr>
            <w:r w:rsidRPr="005419FB">
              <w:rPr>
                <w:sz w:val="21"/>
                <w:szCs w:val="21"/>
              </w:rPr>
              <w:t>57</w:t>
            </w:r>
            <w:r w:rsidR="00FA600C" w:rsidRPr="005419FB">
              <w:rPr>
                <w:sz w:val="21"/>
                <w:szCs w:val="21"/>
              </w:rPr>
              <w:t>%</w:t>
            </w:r>
          </w:p>
        </w:tc>
      </w:tr>
      <w:tr w:rsidR="00183FBE" w:rsidRPr="00DB420A" w:rsidTr="00183FBE">
        <w:trPr>
          <w:trHeight w:val="288"/>
        </w:trPr>
        <w:tc>
          <w:tcPr>
            <w:tcW w:w="4320" w:type="dxa"/>
            <w:tcBorders>
              <w:top w:val="single" w:sz="8" w:space="0" w:color="FFFFFF"/>
              <w:left w:val="single" w:sz="8" w:space="0" w:color="FFFFFF"/>
              <w:bottom w:val="single" w:sz="8" w:space="0" w:color="FFFFFF"/>
              <w:right w:val="single" w:sz="8" w:space="0" w:color="FFFFFF"/>
            </w:tcBorders>
            <w:shd w:val="clear" w:color="auto" w:fill="EBECF0"/>
            <w:tcMar>
              <w:top w:w="15" w:type="dxa"/>
              <w:left w:w="108" w:type="dxa"/>
              <w:bottom w:w="0" w:type="dxa"/>
              <w:right w:w="108" w:type="dxa"/>
            </w:tcMar>
            <w:hideMark/>
          </w:tcPr>
          <w:p w:rsidR="00183FBE" w:rsidRPr="00905A31" w:rsidRDefault="00183FBE" w:rsidP="00183FBE">
            <w:pPr>
              <w:ind w:firstLine="0"/>
              <w:rPr>
                <w:sz w:val="21"/>
                <w:szCs w:val="21"/>
              </w:rPr>
            </w:pPr>
            <w:r w:rsidRPr="00905A31">
              <w:rPr>
                <w:sz w:val="21"/>
                <w:szCs w:val="21"/>
              </w:rPr>
              <w:t xml:space="preserve">     $901 or more</w:t>
            </w:r>
            <w:r w:rsidR="00905A31" w:rsidRPr="00905A31">
              <w:rPr>
                <w:sz w:val="21"/>
                <w:szCs w:val="21"/>
              </w:rPr>
              <w:t xml:space="preserve"> (n=51)</w:t>
            </w:r>
          </w:p>
        </w:tc>
        <w:tc>
          <w:tcPr>
            <w:tcW w:w="1404" w:type="dxa"/>
            <w:tcBorders>
              <w:top w:val="single" w:sz="8" w:space="0" w:color="FFFFFF"/>
              <w:left w:val="single" w:sz="8" w:space="0" w:color="FFFFFF"/>
              <w:bottom w:val="single" w:sz="8" w:space="0" w:color="FFFFFF"/>
              <w:right w:val="single" w:sz="8" w:space="0" w:color="FFFFFF"/>
            </w:tcBorders>
            <w:shd w:val="clear" w:color="auto" w:fill="EBECF0"/>
            <w:tcMar>
              <w:top w:w="15" w:type="dxa"/>
              <w:left w:w="108" w:type="dxa"/>
              <w:bottom w:w="0" w:type="dxa"/>
              <w:right w:w="108" w:type="dxa"/>
            </w:tcMar>
            <w:hideMark/>
          </w:tcPr>
          <w:p w:rsidR="00183FBE" w:rsidRPr="005419FB" w:rsidRDefault="00183FBE" w:rsidP="00183FBE">
            <w:pPr>
              <w:rPr>
                <w:sz w:val="21"/>
                <w:szCs w:val="21"/>
              </w:rPr>
            </w:pPr>
            <w:r w:rsidRPr="005419FB">
              <w:rPr>
                <w:sz w:val="21"/>
                <w:szCs w:val="21"/>
              </w:rPr>
              <w:t>71</w:t>
            </w:r>
            <w:r w:rsidR="00FA600C" w:rsidRPr="005419FB">
              <w:rPr>
                <w:sz w:val="21"/>
                <w:szCs w:val="21"/>
              </w:rPr>
              <w:t>%</w:t>
            </w:r>
          </w:p>
        </w:tc>
      </w:tr>
    </w:tbl>
    <w:p w:rsidR="005658FD" w:rsidRDefault="00232088" w:rsidP="000905E2">
      <w:pPr>
        <w:pStyle w:val="ListParagraph"/>
        <w:jc w:val="both"/>
      </w:pPr>
      <w:r>
        <w:t>Almost half of working married women felt that they could obtain a bank l</w:t>
      </w:r>
      <w:r w:rsidR="00002EAA">
        <w:t xml:space="preserve">oan or other credit on </w:t>
      </w:r>
      <w:r w:rsidR="005658FD">
        <w:t>t</w:t>
      </w:r>
      <w:r w:rsidR="00002EAA">
        <w:t xml:space="preserve">heir own (46%), which is almost three times as much as non-working married women (16%). </w:t>
      </w:r>
    </w:p>
    <w:p w:rsidR="00036D01" w:rsidRDefault="00036D01" w:rsidP="00036D01">
      <w:pPr>
        <w:pStyle w:val="ListParagraph"/>
        <w:numPr>
          <w:ilvl w:val="0"/>
          <w:numId w:val="0"/>
        </w:numPr>
        <w:ind w:left="360"/>
        <w:jc w:val="both"/>
      </w:pPr>
    </w:p>
    <w:p w:rsidR="00183FBE" w:rsidRDefault="00593628" w:rsidP="00223A06">
      <w:pPr>
        <w:pStyle w:val="ListParagraph"/>
        <w:jc w:val="both"/>
      </w:pPr>
      <w:r>
        <w:t>Nearly s</w:t>
      </w:r>
      <w:r w:rsidR="005658FD">
        <w:t xml:space="preserve">ix times as many married women with a </w:t>
      </w:r>
      <w:r w:rsidR="00C045BD">
        <w:t>university</w:t>
      </w:r>
      <w:r w:rsidR="005658FD">
        <w:t xml:space="preserve"> degree or more </w:t>
      </w:r>
      <w:r>
        <w:t xml:space="preserve">(59%) as married women with a primary education (10%), </w:t>
      </w:r>
      <w:r w:rsidR="005658FD">
        <w:t>felt that they could obtain a bank loan or other credit on their own</w:t>
      </w:r>
      <w:r>
        <w:t xml:space="preserve">.  </w:t>
      </w:r>
      <w:r w:rsidR="00C045BD">
        <w:t>Twenty percent</w:t>
      </w:r>
      <w:r w:rsidR="00D15DD5">
        <w:t xml:space="preserve"> of married </w:t>
      </w:r>
      <w:r>
        <w:t xml:space="preserve">women with an intermediate education level and 35% of </w:t>
      </w:r>
      <w:r w:rsidR="00D15DD5">
        <w:t xml:space="preserve">married </w:t>
      </w:r>
      <w:r>
        <w:t>women</w:t>
      </w:r>
      <w:r w:rsidR="00D15DD5">
        <w:t xml:space="preserve"> with a secondary education level had access to credit.</w:t>
      </w:r>
    </w:p>
    <w:p w:rsidR="00036D01" w:rsidRDefault="00036D01" w:rsidP="00036D01">
      <w:pPr>
        <w:pStyle w:val="ListParagraph"/>
        <w:numPr>
          <w:ilvl w:val="0"/>
          <w:numId w:val="0"/>
        </w:numPr>
        <w:ind w:left="360"/>
      </w:pPr>
    </w:p>
    <w:p w:rsidR="00223A06" w:rsidRDefault="00223A06" w:rsidP="00223A06">
      <w:pPr>
        <w:pStyle w:val="ListParagraph"/>
        <w:jc w:val="both"/>
      </w:pPr>
      <w:r>
        <w:t>Five times as many married women earning $901 or more each month (71%) as married women earning less than $300 (14%) could obtain a bank loan or access other types of credit, compared to 45% of married women earning $301-500, and 57% earning $501-900.</w:t>
      </w:r>
      <w:r w:rsidR="0051337C" w:rsidRPr="0051337C">
        <w:t xml:space="preserve"> </w:t>
      </w:r>
      <w:r w:rsidR="0051337C">
        <w:t>It is not surprising that loan officers want evidence of the borrower’s ability to repay a loan.</w:t>
      </w:r>
    </w:p>
    <w:p w:rsidR="00036D01" w:rsidRDefault="00036D01" w:rsidP="00036D01">
      <w:pPr>
        <w:pStyle w:val="ListParagraph"/>
        <w:numPr>
          <w:ilvl w:val="0"/>
          <w:numId w:val="0"/>
        </w:numPr>
        <w:ind w:left="360"/>
      </w:pPr>
    </w:p>
    <w:p w:rsidR="00223A06" w:rsidRPr="00892346" w:rsidRDefault="00223A06" w:rsidP="00892346">
      <w:pPr>
        <w:pStyle w:val="ListParagraph"/>
        <w:jc w:val="both"/>
        <w:rPr>
          <w:color w:val="548DD4" w:themeColor="text2" w:themeTint="99"/>
        </w:rPr>
      </w:pPr>
      <w:r>
        <w:t>More married women aged 35-54 could obtain bank loans or other credit (27%), than married women aged 18-34 (23%) and 55 and older (15%).</w:t>
      </w:r>
    </w:p>
    <w:p w:rsidR="00183FBE" w:rsidRDefault="00183FBE" w:rsidP="00183FBE">
      <w:pPr>
        <w:ind w:firstLine="0"/>
        <w:jc w:val="both"/>
        <w:rPr>
          <w:sz w:val="21"/>
          <w:szCs w:val="21"/>
        </w:rPr>
      </w:pPr>
    </w:p>
    <w:p w:rsidR="00183FBE" w:rsidRPr="00D130A1" w:rsidRDefault="00183FBE" w:rsidP="00183FBE">
      <w:pPr>
        <w:ind w:firstLine="0"/>
        <w:jc w:val="both"/>
        <w:rPr>
          <w:rFonts w:ascii="Tw Cen MT" w:hAnsi="Tw Cen MT"/>
          <w:sz w:val="32"/>
          <w:szCs w:val="33"/>
        </w:rPr>
      </w:pPr>
      <w:r w:rsidRPr="00D130A1">
        <w:rPr>
          <w:rFonts w:ascii="Tw Cen MT" w:hAnsi="Tw Cen MT"/>
          <w:sz w:val="32"/>
          <w:szCs w:val="33"/>
        </w:rPr>
        <w:t>Financial Independence</w:t>
      </w:r>
    </w:p>
    <w:p w:rsidR="00183FBE" w:rsidRDefault="00183FBE" w:rsidP="00183FBE">
      <w:pPr>
        <w:ind w:firstLine="0"/>
        <w:jc w:val="both"/>
        <w:rPr>
          <w:sz w:val="21"/>
          <w:szCs w:val="21"/>
        </w:rPr>
      </w:pPr>
      <w:r w:rsidRPr="00183FBE">
        <w:rPr>
          <w:sz w:val="21"/>
          <w:szCs w:val="21"/>
        </w:rPr>
        <w:t xml:space="preserve">Currently or formerly married women with higher educational attainment are more likely than their lesser-educated counterparts to believe that they would be able to support themselves and their family independently of their husband’s income. </w:t>
      </w:r>
    </w:p>
    <w:p w:rsidR="00183FBE" w:rsidRPr="00183FBE" w:rsidRDefault="00183FBE" w:rsidP="00183FBE">
      <w:pPr>
        <w:ind w:firstLine="0"/>
        <w:jc w:val="both"/>
        <w:rPr>
          <w:sz w:val="21"/>
          <w:szCs w:val="21"/>
        </w:rPr>
      </w:pPr>
    </w:p>
    <w:p w:rsidR="00183FBE" w:rsidRDefault="00183FBE" w:rsidP="00183FBE">
      <w:pPr>
        <w:pStyle w:val="ListParagraph"/>
      </w:pPr>
      <w:r w:rsidRPr="00183FBE">
        <w:t xml:space="preserve">More than twice as many married women with university degrees or more (65%) as married women with less than a primary education (31%) would be able to support themselves independently of their husband’s income (Figure 12).   </w:t>
      </w:r>
    </w:p>
    <w:p w:rsidR="00036D01" w:rsidRDefault="00036D01" w:rsidP="00036D01">
      <w:pPr>
        <w:pStyle w:val="ListParagraph"/>
        <w:numPr>
          <w:ilvl w:val="0"/>
          <w:numId w:val="0"/>
        </w:numPr>
        <w:ind w:left="360"/>
      </w:pPr>
    </w:p>
    <w:p w:rsidR="00183FBE" w:rsidRDefault="00183FBE" w:rsidP="00183FBE">
      <w:pPr>
        <w:pStyle w:val="ListParagraph"/>
      </w:pPr>
      <w:r w:rsidRPr="00183FBE">
        <w:lastRenderedPageBreak/>
        <w:t>The majority of married women with less than a primary education said that they could not support themselves independently of their husbands (60%), four times the rate for women with a college degree or higher (19%).</w:t>
      </w:r>
    </w:p>
    <w:p w:rsidR="00036D01" w:rsidRDefault="00036D01" w:rsidP="00036D01">
      <w:pPr>
        <w:pStyle w:val="ListParagraph"/>
        <w:numPr>
          <w:ilvl w:val="0"/>
          <w:numId w:val="0"/>
        </w:numPr>
        <w:ind w:left="360"/>
        <w:jc w:val="both"/>
      </w:pPr>
    </w:p>
    <w:p w:rsidR="00183FBE" w:rsidRDefault="00EC0EBD" w:rsidP="009C2BAD">
      <w:pPr>
        <w:pStyle w:val="ListParagraph"/>
        <w:jc w:val="both"/>
      </w:pPr>
      <w:r>
        <w:rPr>
          <w:noProof/>
          <w:lang w:bidi="ar-SA"/>
        </w:rPr>
        <w:drawing>
          <wp:anchor distT="0" distB="0" distL="114300" distR="114300" simplePos="0" relativeHeight="251759616" behindDoc="0" locked="0" layoutInCell="1" allowOverlap="1">
            <wp:simplePos x="0" y="0"/>
            <wp:positionH relativeFrom="column">
              <wp:posOffset>1925320</wp:posOffset>
            </wp:positionH>
            <wp:positionV relativeFrom="paragraph">
              <wp:posOffset>95250</wp:posOffset>
            </wp:positionV>
            <wp:extent cx="4518660" cy="3204210"/>
            <wp:effectExtent l="19050" t="0" r="15240" b="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00183FBE" w:rsidRPr="00183FBE">
        <w:t>A small percentage of married women were uncertain whether or not they could support themselves independently of their husbands.  Women with less than a primary education expressed the least uncertainty (4%), compared with 13% of married women with an intermediate education, who expressed the greatest uncertainty.  Twelve percent of married women with a secondary degree and 11% of married women with a university degree or more were also uncertain about whether they could support themselves.</w:t>
      </w:r>
    </w:p>
    <w:p w:rsidR="00183FBE" w:rsidRPr="00183FBE" w:rsidRDefault="006210DF" w:rsidP="00183FBE">
      <w:pPr>
        <w:pStyle w:val="ListParagraph"/>
        <w:numPr>
          <w:ilvl w:val="0"/>
          <w:numId w:val="0"/>
        </w:numPr>
        <w:ind w:left="360"/>
      </w:pPr>
      <w:r>
        <w:rPr>
          <w:noProof/>
          <w:lang w:bidi="ar-SA"/>
        </w:rPr>
        <w:pict>
          <v:shape id="_x0000_s1101" type="#_x0000_t202" style="position:absolute;left:0;text-align:left;margin-left:143.35pt;margin-top:-130.6pt;width:57.15pt;height:21.2pt;z-index:251744256;mso-width-relative:margin;mso-height-relative:margin" stroked="f">
            <v:textbox style="mso-next-textbox:#_x0000_s1101">
              <w:txbxContent>
                <w:p w:rsidR="00036D01" w:rsidRPr="007D034A" w:rsidRDefault="00036D01" w:rsidP="00A976E1">
                  <w:pPr>
                    <w:ind w:firstLine="0"/>
                    <w:rPr>
                      <w:b/>
                    </w:rPr>
                  </w:pPr>
                  <w:r>
                    <w:rPr>
                      <w:b/>
                    </w:rPr>
                    <w:t>Figure 12</w:t>
                  </w:r>
                </w:p>
              </w:txbxContent>
            </v:textbox>
          </v:shape>
        </w:pict>
      </w:r>
    </w:p>
    <w:p w:rsidR="00183FBE" w:rsidRPr="00036D01" w:rsidRDefault="00183FBE" w:rsidP="00036D01">
      <w:pPr>
        <w:pStyle w:val="ListParagraph"/>
        <w:numPr>
          <w:ilvl w:val="0"/>
          <w:numId w:val="2"/>
        </w:numPr>
        <w:jc w:val="both"/>
      </w:pPr>
      <w:r w:rsidRPr="00036D01">
        <w:t>Regardless of educational attainment, few married women currently support themselves</w:t>
      </w:r>
      <w:r w:rsidR="0005101C" w:rsidRPr="00036D01">
        <w:t xml:space="preserve"> or their families on their own</w:t>
      </w:r>
      <w:r w:rsidRPr="00036D01">
        <w:t>.  Five percent of married women with a university degree or more and 4% of married women with less than a primary education currently support themselves.</w:t>
      </w:r>
    </w:p>
    <w:p w:rsidR="00183FBE" w:rsidRDefault="00183FBE" w:rsidP="00183FBE">
      <w:pPr>
        <w:ind w:firstLine="0"/>
        <w:jc w:val="both"/>
        <w:rPr>
          <w:sz w:val="21"/>
          <w:szCs w:val="21"/>
        </w:rPr>
      </w:pPr>
    </w:p>
    <w:p w:rsidR="00183FBE" w:rsidRDefault="00183FBE" w:rsidP="00183FBE">
      <w:pPr>
        <w:ind w:firstLine="0"/>
        <w:jc w:val="both"/>
        <w:rPr>
          <w:sz w:val="21"/>
          <w:szCs w:val="21"/>
        </w:rPr>
      </w:pPr>
    </w:p>
    <w:p w:rsidR="00183FBE" w:rsidRDefault="00183FBE" w:rsidP="00183FBE">
      <w:pPr>
        <w:ind w:firstLine="0"/>
        <w:jc w:val="both"/>
        <w:rPr>
          <w:sz w:val="21"/>
          <w:szCs w:val="21"/>
        </w:rPr>
      </w:pPr>
    </w:p>
    <w:p w:rsidR="00183FBE" w:rsidRDefault="00183FBE" w:rsidP="00183FBE">
      <w:pPr>
        <w:ind w:firstLine="0"/>
        <w:jc w:val="both"/>
        <w:rPr>
          <w:sz w:val="21"/>
          <w:szCs w:val="21"/>
        </w:rPr>
      </w:pPr>
    </w:p>
    <w:p w:rsidR="00183FBE" w:rsidRDefault="00183FBE" w:rsidP="00183FBE">
      <w:pPr>
        <w:ind w:firstLine="0"/>
        <w:jc w:val="both"/>
        <w:rPr>
          <w:sz w:val="21"/>
          <w:szCs w:val="21"/>
        </w:rPr>
      </w:pPr>
    </w:p>
    <w:p w:rsidR="00183FBE" w:rsidRDefault="00183FBE" w:rsidP="00183FBE">
      <w:pPr>
        <w:ind w:firstLine="0"/>
        <w:jc w:val="both"/>
        <w:rPr>
          <w:sz w:val="21"/>
          <w:szCs w:val="21"/>
        </w:rPr>
      </w:pPr>
    </w:p>
    <w:p w:rsidR="00183FBE" w:rsidRDefault="00183FBE" w:rsidP="00183FBE">
      <w:pPr>
        <w:ind w:firstLine="0"/>
        <w:jc w:val="both"/>
        <w:rPr>
          <w:sz w:val="21"/>
          <w:szCs w:val="21"/>
        </w:rPr>
      </w:pPr>
    </w:p>
    <w:p w:rsidR="005658FD" w:rsidRDefault="005658FD" w:rsidP="00183FBE">
      <w:pPr>
        <w:pStyle w:val="ListParagraph"/>
        <w:numPr>
          <w:ilvl w:val="0"/>
          <w:numId w:val="0"/>
        </w:numPr>
        <w:ind w:left="360"/>
        <w:jc w:val="both"/>
      </w:pPr>
    </w:p>
    <w:p w:rsidR="005658FD" w:rsidRDefault="005658FD" w:rsidP="00BF47D4">
      <w:pPr>
        <w:spacing w:after="120" w:line="264" w:lineRule="auto"/>
        <w:jc w:val="both"/>
      </w:pPr>
    </w:p>
    <w:p w:rsidR="005658FD" w:rsidRDefault="005658FD" w:rsidP="00BF47D4">
      <w:pPr>
        <w:spacing w:after="120" w:line="264" w:lineRule="auto"/>
        <w:jc w:val="both"/>
      </w:pPr>
    </w:p>
    <w:p w:rsidR="009B4D9D" w:rsidRDefault="009B4D9D" w:rsidP="00C045BD">
      <w:pPr>
        <w:spacing w:after="120" w:line="264" w:lineRule="auto"/>
        <w:ind w:firstLine="0"/>
        <w:jc w:val="both"/>
      </w:pPr>
    </w:p>
    <w:sectPr w:rsidR="009B4D9D" w:rsidSect="005876EB">
      <w:headerReference w:type="default" r:id="rId26"/>
      <w:footerReference w:type="default" r:id="rId27"/>
      <w:type w:val="continuous"/>
      <w:pgSz w:w="12240" w:h="15840"/>
      <w:pgMar w:top="1440" w:right="1080" w:bottom="1440" w:left="1080" w:header="288"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D01" w:rsidRDefault="00036D01" w:rsidP="00254779">
      <w:r>
        <w:separator/>
      </w:r>
    </w:p>
    <w:p w:rsidR="00036D01" w:rsidRDefault="00036D01"/>
  </w:endnote>
  <w:endnote w:type="continuationSeparator" w:id="0">
    <w:p w:rsidR="00036D01" w:rsidRDefault="00036D01" w:rsidP="00254779">
      <w:r>
        <w:continuationSeparator/>
      </w:r>
    </w:p>
    <w:p w:rsidR="00036D01" w:rsidRDefault="00036D01"/>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w Cen MT">
    <w:panose1 w:val="020B0602020104020603"/>
    <w:charset w:val="00"/>
    <w:family w:val="swiss"/>
    <w:pitch w:val="variable"/>
    <w:sig w:usb0="00000007" w:usb1="00000000" w:usb2="00000000" w:usb3="00000000" w:csb0="00000003" w:csb1="00000000"/>
  </w:font>
  <w:font w:name="Malgun Gothic">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LT Std">
    <w:altName w:val="Arial"/>
    <w:panose1 w:val="00000000000000000000"/>
    <w:charset w:val="00"/>
    <w:family w:val="swiss"/>
    <w:notTrueType/>
    <w:pitch w:val="variable"/>
    <w:sig w:usb0="800002AF" w:usb1="5000204A" w:usb2="00000000" w:usb3="00000000" w:csb0="00000005"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01" w:rsidRPr="002C35EF" w:rsidRDefault="00036D01" w:rsidP="002C35EF">
    <w:pPr>
      <w:jc w:val="center"/>
      <w:rPr>
        <w:rFonts w:ascii="Tw Cen MT" w:hAnsi="Tw Cen MT"/>
        <w:color w:val="000000" w:themeColor="text1"/>
        <w:sz w:val="18"/>
      </w:rPr>
    </w:pPr>
  </w:p>
  <w:tbl>
    <w:tblPr>
      <w:tblStyle w:val="TableGrid"/>
      <w:tblW w:w="0" w:type="auto"/>
      <w:tblInd w:w="108" w:type="dxa"/>
      <w:tblBorders>
        <w:top w:val="single" w:sz="8" w:space="0" w:color="808080" w:themeColor="background1" w:themeShade="80"/>
        <w:left w:val="none" w:sz="0" w:space="0" w:color="auto"/>
        <w:bottom w:val="none" w:sz="0" w:space="0" w:color="auto"/>
        <w:right w:val="none" w:sz="0" w:space="0" w:color="auto"/>
        <w:insideH w:val="single" w:sz="8" w:space="0" w:color="7F7F7F" w:themeColor="text1" w:themeTint="80"/>
        <w:insideV w:val="single" w:sz="8" w:space="0" w:color="808080" w:themeColor="background1" w:themeShade="80"/>
      </w:tblBorders>
      <w:tblLook w:val="04A0"/>
    </w:tblPr>
    <w:tblGrid>
      <w:gridCol w:w="2409"/>
      <w:gridCol w:w="6802"/>
      <w:gridCol w:w="977"/>
    </w:tblGrid>
    <w:tr w:rsidR="00036D01" w:rsidTr="00EA2661">
      <w:trPr>
        <w:trHeight w:val="1060"/>
      </w:trPr>
      <w:tc>
        <w:tcPr>
          <w:tcW w:w="2610" w:type="dxa"/>
          <w:tcBorders>
            <w:top w:val="single" w:sz="18" w:space="0" w:color="A6A6A6" w:themeColor="background1" w:themeShade="A6"/>
            <w:bottom w:val="nil"/>
            <w:right w:val="single" w:sz="18" w:space="0" w:color="A6A6A6" w:themeColor="background1" w:themeShade="A6"/>
          </w:tcBorders>
        </w:tcPr>
        <w:p w:rsidR="00036D01" w:rsidRDefault="00036D01" w:rsidP="002C35EF">
          <w:pPr>
            <w:ind w:firstLine="0"/>
            <w:rPr>
              <w:rFonts w:ascii="Helvetica LT Std" w:hAnsi="Helvetica LT Std"/>
              <w:color w:val="000000" w:themeColor="text1"/>
              <w:sz w:val="28"/>
            </w:rPr>
          </w:pPr>
          <w:r>
            <w:rPr>
              <w:rFonts w:ascii="Tw Cen MT" w:hAnsi="Tw Cen MT"/>
              <w:noProof/>
              <w:color w:val="000000" w:themeColor="text1"/>
              <w:sz w:val="18"/>
              <w:lang w:bidi="ar-SA"/>
            </w:rPr>
            <w:drawing>
              <wp:anchor distT="0" distB="0" distL="114300" distR="114300" simplePos="0" relativeHeight="251665408" behindDoc="0" locked="0" layoutInCell="1" allowOverlap="1">
                <wp:simplePos x="0" y="0"/>
                <wp:positionH relativeFrom="column">
                  <wp:posOffset>649717</wp:posOffset>
                </wp:positionH>
                <wp:positionV relativeFrom="paragraph">
                  <wp:posOffset>94727</wp:posOffset>
                </wp:positionV>
                <wp:extent cx="693644" cy="443753"/>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93644" cy="443753"/>
                        </a:xfrm>
                        <a:prstGeom prst="rect">
                          <a:avLst/>
                        </a:prstGeom>
                        <a:solidFill>
                          <a:schemeClr val="bg1">
                            <a:lumMod val="95000"/>
                          </a:schemeClr>
                        </a:solidFill>
                        <a:ln w="9525">
                          <a:noFill/>
                          <a:miter lim="800000"/>
                          <a:headEnd/>
                          <a:tailEnd/>
                        </a:ln>
                      </pic:spPr>
                    </pic:pic>
                  </a:graphicData>
                </a:graphic>
              </wp:anchor>
            </w:drawing>
          </w:r>
          <w:r>
            <w:rPr>
              <w:rFonts w:ascii="Tw Cen MT" w:hAnsi="Tw Cen MT"/>
              <w:noProof/>
              <w:color w:val="000000" w:themeColor="text1"/>
              <w:sz w:val="18"/>
              <w:lang w:bidi="ar-SA"/>
            </w:rPr>
            <w:drawing>
              <wp:anchor distT="0" distB="0" distL="114300" distR="114300" simplePos="0" relativeHeight="251663360" behindDoc="0" locked="0" layoutInCell="1" allowOverlap="1">
                <wp:simplePos x="0" y="0"/>
                <wp:positionH relativeFrom="column">
                  <wp:posOffset>12065</wp:posOffset>
                </wp:positionH>
                <wp:positionV relativeFrom="paragraph">
                  <wp:posOffset>52705</wp:posOffset>
                </wp:positionV>
                <wp:extent cx="564515" cy="564515"/>
                <wp:effectExtent l="0" t="0" r="0" b="0"/>
                <wp:wrapNone/>
                <wp:docPr id="22" name="Picture 1" descr="http://intranet.ifes.org/communications/projects/Logos/Standard%20IFES%20Logo/IFES_logo_blue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ifes.org/communications/projects/Logos/Standard%20IFES%20Logo/IFES_logo_blue_transparent.png"/>
                        <pic:cNvPicPr>
                          <a:picLocks noChangeAspect="1" noChangeArrowheads="1"/>
                        </pic:cNvPicPr>
                      </pic:nvPicPr>
                      <pic:blipFill>
                        <a:blip r:embed="rId2" cstate="print"/>
                        <a:srcRect/>
                        <a:stretch>
                          <a:fillRect/>
                        </a:stretch>
                      </pic:blipFill>
                      <pic:spPr bwMode="auto">
                        <a:xfrm>
                          <a:off x="0" y="0"/>
                          <a:ext cx="564515" cy="564515"/>
                        </a:xfrm>
                        <a:prstGeom prst="rect">
                          <a:avLst/>
                        </a:prstGeom>
                        <a:noFill/>
                        <a:ln w="9525">
                          <a:noFill/>
                          <a:miter lim="800000"/>
                          <a:headEnd/>
                          <a:tailEnd/>
                        </a:ln>
                      </pic:spPr>
                    </pic:pic>
                  </a:graphicData>
                </a:graphic>
              </wp:anchor>
            </w:drawing>
          </w:r>
        </w:p>
        <w:p w:rsidR="00036D01" w:rsidRPr="0079017D" w:rsidRDefault="00036D01" w:rsidP="0079017D">
          <w:pPr>
            <w:rPr>
              <w:rFonts w:ascii="Helvetica LT Std" w:hAnsi="Helvetica LT Std"/>
              <w:sz w:val="28"/>
            </w:rPr>
          </w:pPr>
        </w:p>
      </w:tc>
      <w:tc>
        <w:tcPr>
          <w:tcW w:w="7290" w:type="dxa"/>
          <w:tcBorders>
            <w:top w:val="single" w:sz="18" w:space="0" w:color="A6A6A6" w:themeColor="background1" w:themeShade="A6"/>
            <w:left w:val="single" w:sz="18" w:space="0" w:color="A6A6A6" w:themeColor="background1" w:themeShade="A6"/>
            <w:bottom w:val="nil"/>
            <w:right w:val="single" w:sz="18" w:space="0" w:color="A6A6A6" w:themeColor="background1" w:themeShade="A6"/>
          </w:tcBorders>
          <w:tcMar>
            <w:left w:w="288" w:type="dxa"/>
            <w:right w:w="288" w:type="dxa"/>
          </w:tcMar>
          <w:vAlign w:val="center"/>
        </w:tcPr>
        <w:p w:rsidR="00036D01" w:rsidRPr="00561D55" w:rsidRDefault="00036D01" w:rsidP="00561D55">
          <w:pPr>
            <w:ind w:firstLine="0"/>
            <w:jc w:val="center"/>
            <w:rPr>
              <w:rFonts w:ascii="Tw Cen MT" w:hAnsi="Tw Cen MT"/>
              <w:color w:val="808080" w:themeColor="background1" w:themeShade="80"/>
              <w:sz w:val="20"/>
            </w:rPr>
          </w:pPr>
          <w:r w:rsidRPr="00561D55">
            <w:rPr>
              <w:rFonts w:ascii="Tw Cen MT" w:hAnsi="Tw Cen MT"/>
              <w:color w:val="808080" w:themeColor="background1" w:themeShade="80"/>
              <w:sz w:val="20"/>
            </w:rPr>
            <w:t>The Status of Women in the Middle East and North Africa (</w:t>
          </w:r>
          <w:proofErr w:type="spellStart"/>
          <w:r w:rsidRPr="00561D55">
            <w:rPr>
              <w:rFonts w:ascii="Tw Cen MT" w:hAnsi="Tw Cen MT"/>
              <w:color w:val="808080" w:themeColor="background1" w:themeShade="80"/>
              <w:sz w:val="20"/>
            </w:rPr>
            <w:t>SWMENA</w:t>
          </w:r>
          <w:proofErr w:type="spellEnd"/>
          <w:r w:rsidRPr="00561D55">
            <w:rPr>
              <w:rFonts w:ascii="Tw Cen MT" w:hAnsi="Tw Cen MT"/>
              <w:color w:val="808080" w:themeColor="background1" w:themeShade="80"/>
              <w:sz w:val="20"/>
            </w:rPr>
            <w:t>)</w:t>
          </w:r>
        </w:p>
        <w:p w:rsidR="00036D01" w:rsidRPr="00561D55" w:rsidRDefault="00036D01" w:rsidP="00561D55">
          <w:pPr>
            <w:ind w:firstLine="0"/>
            <w:jc w:val="center"/>
            <w:rPr>
              <w:rFonts w:ascii="Tw Cen MT" w:hAnsi="Tw Cen MT"/>
              <w:color w:val="000000" w:themeColor="text1"/>
              <w:sz w:val="20"/>
            </w:rPr>
          </w:pPr>
          <w:r w:rsidRPr="00561D55">
            <w:rPr>
              <w:rFonts w:ascii="Tw Cen MT" w:hAnsi="Tw Cen MT"/>
              <w:color w:val="808080" w:themeColor="background1" w:themeShade="80"/>
              <w:sz w:val="20"/>
            </w:rPr>
            <w:t>Focus on Lebanon</w:t>
          </w:r>
          <w:r w:rsidRPr="00561D55">
            <w:rPr>
              <w:rFonts w:ascii="Tw Cen MT" w:hAnsi="Tw Cen MT"/>
              <w:color w:val="808080" w:themeColor="background1" w:themeShade="80"/>
              <w:sz w:val="20"/>
            </w:rPr>
            <w:br/>
          </w:r>
        </w:p>
      </w:tc>
      <w:tc>
        <w:tcPr>
          <w:tcW w:w="1008" w:type="dxa"/>
          <w:tcBorders>
            <w:top w:val="single" w:sz="18" w:space="0" w:color="A6A6A6" w:themeColor="background1" w:themeShade="A6"/>
            <w:left w:val="single" w:sz="18" w:space="0" w:color="A6A6A6" w:themeColor="background1" w:themeShade="A6"/>
            <w:bottom w:val="nil"/>
          </w:tcBorders>
          <w:vAlign w:val="center"/>
        </w:tcPr>
        <w:p w:rsidR="00036D01" w:rsidRPr="00561D55" w:rsidRDefault="00036D01" w:rsidP="00561D55">
          <w:pPr>
            <w:ind w:firstLine="0"/>
            <w:jc w:val="center"/>
            <w:rPr>
              <w:rFonts w:ascii="Tw Cen MT" w:hAnsi="Tw Cen MT"/>
              <w:color w:val="808080" w:themeColor="background1" w:themeShade="80"/>
              <w:sz w:val="20"/>
            </w:rPr>
          </w:pPr>
          <w:r w:rsidRPr="00561D55">
            <w:rPr>
              <w:rFonts w:ascii="Tw Cen MT" w:hAnsi="Tw Cen MT"/>
              <w:color w:val="808080" w:themeColor="background1" w:themeShade="80"/>
              <w:sz w:val="20"/>
            </w:rPr>
            <w:t xml:space="preserve">Page </w:t>
          </w:r>
          <w:r w:rsidRPr="00561D55">
            <w:rPr>
              <w:rFonts w:ascii="Tw Cen MT" w:hAnsi="Tw Cen MT"/>
              <w:color w:val="808080" w:themeColor="background1" w:themeShade="80"/>
              <w:sz w:val="20"/>
            </w:rPr>
            <w:fldChar w:fldCharType="begin"/>
          </w:r>
          <w:r w:rsidRPr="00561D55">
            <w:rPr>
              <w:rFonts w:ascii="Tw Cen MT" w:hAnsi="Tw Cen MT"/>
              <w:color w:val="808080" w:themeColor="background1" w:themeShade="80"/>
              <w:sz w:val="20"/>
            </w:rPr>
            <w:instrText xml:space="preserve"> PAGE   \* MERGEFORMAT </w:instrText>
          </w:r>
          <w:r w:rsidRPr="00561D55">
            <w:rPr>
              <w:rFonts w:ascii="Tw Cen MT" w:hAnsi="Tw Cen MT"/>
              <w:color w:val="808080" w:themeColor="background1" w:themeShade="80"/>
              <w:sz w:val="20"/>
            </w:rPr>
            <w:fldChar w:fldCharType="separate"/>
          </w:r>
          <w:r w:rsidR="00324EE0">
            <w:rPr>
              <w:rFonts w:ascii="Tw Cen MT" w:hAnsi="Tw Cen MT"/>
              <w:noProof/>
              <w:color w:val="808080" w:themeColor="background1" w:themeShade="80"/>
              <w:sz w:val="20"/>
            </w:rPr>
            <w:t>9</w:t>
          </w:r>
          <w:r w:rsidRPr="00561D55">
            <w:rPr>
              <w:rFonts w:ascii="Tw Cen MT" w:hAnsi="Tw Cen MT"/>
              <w:color w:val="808080" w:themeColor="background1" w:themeShade="80"/>
              <w:sz w:val="20"/>
            </w:rPr>
            <w:fldChar w:fldCharType="end"/>
          </w:r>
        </w:p>
      </w:tc>
    </w:tr>
    <w:tr w:rsidR="00036D01" w:rsidTr="00EA2661">
      <w:trPr>
        <w:trHeight w:val="236"/>
      </w:trPr>
      <w:tc>
        <w:tcPr>
          <w:tcW w:w="10908" w:type="dxa"/>
          <w:gridSpan w:val="3"/>
          <w:tcBorders>
            <w:top w:val="nil"/>
          </w:tcBorders>
          <w:shd w:val="clear" w:color="auto" w:fill="D9D9D9" w:themeFill="background1" w:themeFillShade="D9"/>
        </w:tcPr>
        <w:p w:rsidR="00036D01" w:rsidRPr="009748D0" w:rsidRDefault="00036D01" w:rsidP="009748D0">
          <w:pPr>
            <w:pStyle w:val="Footer"/>
            <w:jc w:val="center"/>
            <w:rPr>
              <w:rFonts w:ascii="Tw Cen MT" w:hAnsi="Tw Cen MT"/>
              <w:i/>
              <w:color w:val="808080" w:themeColor="background1" w:themeShade="80"/>
              <w:sz w:val="20"/>
              <w:szCs w:val="20"/>
            </w:rPr>
          </w:pPr>
          <w:r w:rsidRPr="009748D0">
            <w:rPr>
              <w:rFonts w:ascii="Tw Cen MT" w:hAnsi="Tw Cen MT"/>
              <w:i/>
              <w:color w:val="808080" w:themeColor="background1" w:themeShade="80"/>
              <w:sz w:val="20"/>
              <w:szCs w:val="20"/>
            </w:rPr>
            <w:t>The International Foundat</w:t>
          </w:r>
          <w:r>
            <w:rPr>
              <w:rFonts w:ascii="Tw Cen MT" w:hAnsi="Tw Cen MT"/>
              <w:i/>
              <w:color w:val="808080" w:themeColor="background1" w:themeShade="80"/>
              <w:sz w:val="20"/>
              <w:szCs w:val="20"/>
            </w:rPr>
            <w:t>ion for Electoral Systems &amp; t</w:t>
          </w:r>
          <w:r w:rsidRPr="009748D0">
            <w:rPr>
              <w:rFonts w:ascii="Tw Cen MT" w:hAnsi="Tw Cen MT"/>
              <w:i/>
              <w:color w:val="808080" w:themeColor="background1" w:themeShade="80"/>
              <w:sz w:val="20"/>
              <w:szCs w:val="20"/>
            </w:rPr>
            <w:t>he Institute fo</w:t>
          </w:r>
          <w:r>
            <w:rPr>
              <w:rFonts w:ascii="Tw Cen MT" w:hAnsi="Tw Cen MT"/>
              <w:i/>
              <w:color w:val="808080" w:themeColor="background1" w:themeShade="80"/>
              <w:sz w:val="20"/>
              <w:szCs w:val="20"/>
            </w:rPr>
            <w:t>r Women’s Policy Research</w:t>
          </w:r>
        </w:p>
      </w:tc>
    </w:tr>
  </w:tbl>
  <w:p w:rsidR="00036D01" w:rsidRPr="002C35EF" w:rsidRDefault="00036D01" w:rsidP="002C35EF">
    <w:pPr>
      <w:ind w:firstLine="0"/>
      <w:rPr>
        <w:rFonts w:ascii="Helvetica LT Std" w:hAnsi="Helvetica LT Std"/>
        <w:color w:val="000000" w:themeColor="text1"/>
        <w:sz w:val="28"/>
      </w:rPr>
    </w:pPr>
  </w:p>
  <w:p w:rsidR="00036D01" w:rsidRDefault="00036D0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D01" w:rsidRDefault="00036D01" w:rsidP="00254779">
      <w:r>
        <w:separator/>
      </w:r>
    </w:p>
    <w:p w:rsidR="00036D01" w:rsidRDefault="00036D01"/>
  </w:footnote>
  <w:footnote w:type="continuationSeparator" w:id="0">
    <w:p w:rsidR="00036D01" w:rsidRDefault="00036D01" w:rsidP="00254779">
      <w:r>
        <w:continuationSeparator/>
      </w:r>
    </w:p>
    <w:p w:rsidR="00036D01" w:rsidRDefault="00036D0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026"/>
      <w:gridCol w:w="1284"/>
    </w:tblGrid>
    <w:tr w:rsidR="00036D01" w:rsidTr="004663E7">
      <w:trPr>
        <w:trHeight w:val="288"/>
      </w:trPr>
      <w:tc>
        <w:tcPr>
          <w:tcW w:w="7765" w:type="dxa"/>
        </w:tcPr>
        <w:p w:rsidR="00036D01" w:rsidRPr="00E86A67" w:rsidRDefault="00036D01" w:rsidP="00D8441B">
          <w:pPr>
            <w:pStyle w:val="Header"/>
            <w:ind w:firstLine="0"/>
            <w:jc w:val="right"/>
            <w:rPr>
              <w:rFonts w:ascii="Tw Cen MT" w:eastAsiaTheme="majorEastAsia" w:hAnsi="Tw Cen MT" w:cstheme="majorBidi"/>
              <w:sz w:val="36"/>
              <w:szCs w:val="36"/>
            </w:rPr>
          </w:pPr>
          <w:r>
            <w:rPr>
              <w:rFonts w:ascii="Tw Cen MT" w:eastAsiaTheme="majorEastAsia" w:hAnsi="Tw Cen MT" w:cstheme="majorBidi"/>
              <w:sz w:val="32"/>
              <w:szCs w:val="36"/>
            </w:rPr>
            <w:t>Control of Financial Assets</w:t>
          </w:r>
        </w:p>
      </w:tc>
      <w:tc>
        <w:tcPr>
          <w:tcW w:w="1105" w:type="dxa"/>
          <w:vAlign w:val="center"/>
        </w:tcPr>
        <w:p w:rsidR="00036D01" w:rsidRPr="00EA381A" w:rsidRDefault="00036D01" w:rsidP="004663E7">
          <w:pPr>
            <w:pStyle w:val="Header"/>
            <w:ind w:firstLine="0"/>
            <w:rPr>
              <w:rFonts w:ascii="Tw Cen MT" w:eastAsiaTheme="majorEastAsia" w:hAnsi="Tw Cen MT" w:cstheme="majorBidi"/>
              <w:b/>
              <w:bCs/>
              <w:color w:val="4F81BD" w:themeColor="accent1"/>
              <w:sz w:val="24"/>
              <w:szCs w:val="24"/>
            </w:rPr>
          </w:pPr>
          <w:r w:rsidRPr="005876EB">
            <w:rPr>
              <w:rFonts w:ascii="Tw Cen MT" w:eastAsiaTheme="majorEastAsia" w:hAnsi="Tw Cen MT" w:cstheme="majorBidi"/>
              <w:b/>
              <w:bCs/>
              <w:color w:val="4F81BD" w:themeColor="accent1"/>
              <w:sz w:val="24"/>
              <w:szCs w:val="24"/>
            </w:rPr>
            <w:t>Topic Brief</w:t>
          </w:r>
        </w:p>
      </w:tc>
    </w:tr>
  </w:tbl>
  <w:p w:rsidR="00036D01" w:rsidRPr="002C35EF" w:rsidRDefault="00036D01" w:rsidP="002C35EF">
    <w:pPr>
      <w:pStyle w:val="Header"/>
      <w:ind w:firstLine="0"/>
    </w:pPr>
  </w:p>
  <w:p w:rsidR="00036D01" w:rsidRDefault="00036D0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00A80"/>
    <w:multiLevelType w:val="hybridMultilevel"/>
    <w:tmpl w:val="40800098"/>
    <w:lvl w:ilvl="0" w:tplc="2B582A18">
      <w:start w:val="1"/>
      <w:numFmt w:val="bullet"/>
      <w:pStyle w:val="ListParagraph"/>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68FF4F23"/>
    <w:multiLevelType w:val="hybridMultilevel"/>
    <w:tmpl w:val="19C4F9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941FAD"/>
    <w:multiLevelType w:val="hybridMultilevel"/>
    <w:tmpl w:val="DBF6E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79873">
      <o:colormenu v:ext="edit" strokecolor="none"/>
    </o:shapedefaults>
  </w:hdrShapeDefaults>
  <w:footnotePr>
    <w:footnote w:id="-1"/>
    <w:footnote w:id="0"/>
  </w:footnotePr>
  <w:endnotePr>
    <w:endnote w:id="-1"/>
    <w:endnote w:id="0"/>
  </w:endnotePr>
  <w:compat/>
  <w:rsids>
    <w:rsidRoot w:val="00254779"/>
    <w:rsid w:val="00002EAA"/>
    <w:rsid w:val="00002ECD"/>
    <w:rsid w:val="00010B77"/>
    <w:rsid w:val="000146E8"/>
    <w:rsid w:val="00014B5B"/>
    <w:rsid w:val="00035CA9"/>
    <w:rsid w:val="000362E8"/>
    <w:rsid w:val="00036D01"/>
    <w:rsid w:val="00040155"/>
    <w:rsid w:val="00040B32"/>
    <w:rsid w:val="00043AA2"/>
    <w:rsid w:val="00043DC6"/>
    <w:rsid w:val="0005101C"/>
    <w:rsid w:val="00053556"/>
    <w:rsid w:val="0005524D"/>
    <w:rsid w:val="000564A3"/>
    <w:rsid w:val="000905E2"/>
    <w:rsid w:val="000A0058"/>
    <w:rsid w:val="000A21FB"/>
    <w:rsid w:val="000B1D27"/>
    <w:rsid w:val="000B3D27"/>
    <w:rsid w:val="000C3A19"/>
    <w:rsid w:val="000C3B9A"/>
    <w:rsid w:val="000C4211"/>
    <w:rsid w:val="000C4426"/>
    <w:rsid w:val="000D6880"/>
    <w:rsid w:val="000E46AF"/>
    <w:rsid w:val="000E4F6D"/>
    <w:rsid w:val="000E79A3"/>
    <w:rsid w:val="000F1101"/>
    <w:rsid w:val="000F187D"/>
    <w:rsid w:val="0011080E"/>
    <w:rsid w:val="00111EA5"/>
    <w:rsid w:val="00116230"/>
    <w:rsid w:val="0011624B"/>
    <w:rsid w:val="00121722"/>
    <w:rsid w:val="00130B8D"/>
    <w:rsid w:val="00136464"/>
    <w:rsid w:val="001413E7"/>
    <w:rsid w:val="00150F48"/>
    <w:rsid w:val="0015411E"/>
    <w:rsid w:val="00154BE1"/>
    <w:rsid w:val="00156463"/>
    <w:rsid w:val="00161D6D"/>
    <w:rsid w:val="00167EB1"/>
    <w:rsid w:val="00174224"/>
    <w:rsid w:val="00180D79"/>
    <w:rsid w:val="00183FBE"/>
    <w:rsid w:val="00196A9C"/>
    <w:rsid w:val="001B6B96"/>
    <w:rsid w:val="001D3AD9"/>
    <w:rsid w:val="001E07A6"/>
    <w:rsid w:val="001E5B33"/>
    <w:rsid w:val="001F3EFE"/>
    <w:rsid w:val="0021141C"/>
    <w:rsid w:val="00212F98"/>
    <w:rsid w:val="0021753A"/>
    <w:rsid w:val="00217F1D"/>
    <w:rsid w:val="00223A06"/>
    <w:rsid w:val="00223E2B"/>
    <w:rsid w:val="00224727"/>
    <w:rsid w:val="0022534E"/>
    <w:rsid w:val="00226690"/>
    <w:rsid w:val="0023153A"/>
    <w:rsid w:val="00232088"/>
    <w:rsid w:val="002343FE"/>
    <w:rsid w:val="00251744"/>
    <w:rsid w:val="002523EB"/>
    <w:rsid w:val="00254779"/>
    <w:rsid w:val="00262745"/>
    <w:rsid w:val="002740D9"/>
    <w:rsid w:val="00284BF2"/>
    <w:rsid w:val="002854F1"/>
    <w:rsid w:val="00285F30"/>
    <w:rsid w:val="00292754"/>
    <w:rsid w:val="002A19AE"/>
    <w:rsid w:val="002A4C39"/>
    <w:rsid w:val="002A7A0F"/>
    <w:rsid w:val="002C35EF"/>
    <w:rsid w:val="002C37A8"/>
    <w:rsid w:val="002C5331"/>
    <w:rsid w:val="002F4F21"/>
    <w:rsid w:val="00304306"/>
    <w:rsid w:val="00307206"/>
    <w:rsid w:val="00310E2C"/>
    <w:rsid w:val="00322515"/>
    <w:rsid w:val="00322EDE"/>
    <w:rsid w:val="00324EE0"/>
    <w:rsid w:val="00326275"/>
    <w:rsid w:val="00335F3E"/>
    <w:rsid w:val="003450BA"/>
    <w:rsid w:val="00352D25"/>
    <w:rsid w:val="003537EA"/>
    <w:rsid w:val="003663B5"/>
    <w:rsid w:val="00385452"/>
    <w:rsid w:val="0039297A"/>
    <w:rsid w:val="003A012B"/>
    <w:rsid w:val="003A54D9"/>
    <w:rsid w:val="003B276E"/>
    <w:rsid w:val="003B4E03"/>
    <w:rsid w:val="003B4FE1"/>
    <w:rsid w:val="003C061F"/>
    <w:rsid w:val="003C0E7D"/>
    <w:rsid w:val="003C3479"/>
    <w:rsid w:val="003D03FB"/>
    <w:rsid w:val="003D19EA"/>
    <w:rsid w:val="003E1722"/>
    <w:rsid w:val="003E3DB4"/>
    <w:rsid w:val="003F39BD"/>
    <w:rsid w:val="003F3C43"/>
    <w:rsid w:val="003F3D2D"/>
    <w:rsid w:val="0040757B"/>
    <w:rsid w:val="00417919"/>
    <w:rsid w:val="00417B94"/>
    <w:rsid w:val="00420A1B"/>
    <w:rsid w:val="004230CD"/>
    <w:rsid w:val="004235B2"/>
    <w:rsid w:val="00424D44"/>
    <w:rsid w:val="00426CB6"/>
    <w:rsid w:val="0043302D"/>
    <w:rsid w:val="00433EEC"/>
    <w:rsid w:val="00443C43"/>
    <w:rsid w:val="004522E2"/>
    <w:rsid w:val="004634A7"/>
    <w:rsid w:val="004663E7"/>
    <w:rsid w:val="00484C9A"/>
    <w:rsid w:val="004A385B"/>
    <w:rsid w:val="004B2B83"/>
    <w:rsid w:val="004C4C1A"/>
    <w:rsid w:val="004D0578"/>
    <w:rsid w:val="004D471A"/>
    <w:rsid w:val="004D7227"/>
    <w:rsid w:val="004E2FBD"/>
    <w:rsid w:val="004F7B6B"/>
    <w:rsid w:val="00502C64"/>
    <w:rsid w:val="0050300C"/>
    <w:rsid w:val="005131FA"/>
    <w:rsid w:val="0051337C"/>
    <w:rsid w:val="00515584"/>
    <w:rsid w:val="00521B47"/>
    <w:rsid w:val="005228AD"/>
    <w:rsid w:val="00526203"/>
    <w:rsid w:val="00527AD0"/>
    <w:rsid w:val="00535AE2"/>
    <w:rsid w:val="005419FB"/>
    <w:rsid w:val="00553141"/>
    <w:rsid w:val="005556BA"/>
    <w:rsid w:val="005570A4"/>
    <w:rsid w:val="00561D55"/>
    <w:rsid w:val="00562D14"/>
    <w:rsid w:val="005658FD"/>
    <w:rsid w:val="00565A9E"/>
    <w:rsid w:val="005876EB"/>
    <w:rsid w:val="00593628"/>
    <w:rsid w:val="005A4906"/>
    <w:rsid w:val="005A67A2"/>
    <w:rsid w:val="005B01A1"/>
    <w:rsid w:val="005B09B0"/>
    <w:rsid w:val="005B18BA"/>
    <w:rsid w:val="005B3E62"/>
    <w:rsid w:val="005C6444"/>
    <w:rsid w:val="005C67CD"/>
    <w:rsid w:val="005D5085"/>
    <w:rsid w:val="005E708A"/>
    <w:rsid w:val="00610CDC"/>
    <w:rsid w:val="00614039"/>
    <w:rsid w:val="006210DF"/>
    <w:rsid w:val="006314A0"/>
    <w:rsid w:val="00644297"/>
    <w:rsid w:val="006451E7"/>
    <w:rsid w:val="0066173C"/>
    <w:rsid w:val="0067102B"/>
    <w:rsid w:val="006760D6"/>
    <w:rsid w:val="00681E56"/>
    <w:rsid w:val="0069200A"/>
    <w:rsid w:val="00696700"/>
    <w:rsid w:val="006A56DE"/>
    <w:rsid w:val="006D026E"/>
    <w:rsid w:val="006D0B19"/>
    <w:rsid w:val="006D317C"/>
    <w:rsid w:val="006D5669"/>
    <w:rsid w:val="006D7AC9"/>
    <w:rsid w:val="006E5E5B"/>
    <w:rsid w:val="006E6D20"/>
    <w:rsid w:val="006F2637"/>
    <w:rsid w:val="0070393D"/>
    <w:rsid w:val="00703C7E"/>
    <w:rsid w:val="00704E47"/>
    <w:rsid w:val="007066D6"/>
    <w:rsid w:val="00706EB4"/>
    <w:rsid w:val="00714BA3"/>
    <w:rsid w:val="007160D0"/>
    <w:rsid w:val="00717B39"/>
    <w:rsid w:val="007321C4"/>
    <w:rsid w:val="007373A4"/>
    <w:rsid w:val="0075624A"/>
    <w:rsid w:val="00767D40"/>
    <w:rsid w:val="00784028"/>
    <w:rsid w:val="00786EDC"/>
    <w:rsid w:val="00787E62"/>
    <w:rsid w:val="0079017D"/>
    <w:rsid w:val="007956C4"/>
    <w:rsid w:val="0079737D"/>
    <w:rsid w:val="007A0529"/>
    <w:rsid w:val="007A4832"/>
    <w:rsid w:val="007A5444"/>
    <w:rsid w:val="007B515F"/>
    <w:rsid w:val="007D034A"/>
    <w:rsid w:val="007E1470"/>
    <w:rsid w:val="007E6B32"/>
    <w:rsid w:val="007F55BF"/>
    <w:rsid w:val="00800FD9"/>
    <w:rsid w:val="00801C00"/>
    <w:rsid w:val="00810D44"/>
    <w:rsid w:val="00820C5A"/>
    <w:rsid w:val="00826C93"/>
    <w:rsid w:val="00832FBD"/>
    <w:rsid w:val="00847255"/>
    <w:rsid w:val="00856CE8"/>
    <w:rsid w:val="00865DAF"/>
    <w:rsid w:val="00872C16"/>
    <w:rsid w:val="00883152"/>
    <w:rsid w:val="00892346"/>
    <w:rsid w:val="00894AC2"/>
    <w:rsid w:val="008A37B3"/>
    <w:rsid w:val="008A7468"/>
    <w:rsid w:val="008B0F7F"/>
    <w:rsid w:val="008D46AF"/>
    <w:rsid w:val="008F1E09"/>
    <w:rsid w:val="00901CD7"/>
    <w:rsid w:val="00905A31"/>
    <w:rsid w:val="00913C49"/>
    <w:rsid w:val="009159DD"/>
    <w:rsid w:val="00916511"/>
    <w:rsid w:val="009201D8"/>
    <w:rsid w:val="00921F50"/>
    <w:rsid w:val="00923923"/>
    <w:rsid w:val="00924EC9"/>
    <w:rsid w:val="00926556"/>
    <w:rsid w:val="00934EAE"/>
    <w:rsid w:val="00936FFC"/>
    <w:rsid w:val="00940C3F"/>
    <w:rsid w:val="00947524"/>
    <w:rsid w:val="00952DD9"/>
    <w:rsid w:val="00957A1A"/>
    <w:rsid w:val="009632A3"/>
    <w:rsid w:val="009748D0"/>
    <w:rsid w:val="009909BD"/>
    <w:rsid w:val="00994390"/>
    <w:rsid w:val="009B4D9D"/>
    <w:rsid w:val="009B53A0"/>
    <w:rsid w:val="009B556F"/>
    <w:rsid w:val="009C2318"/>
    <w:rsid w:val="009C2BAD"/>
    <w:rsid w:val="009D0547"/>
    <w:rsid w:val="009D2549"/>
    <w:rsid w:val="009D6461"/>
    <w:rsid w:val="009D70C5"/>
    <w:rsid w:val="009F090E"/>
    <w:rsid w:val="009F25B9"/>
    <w:rsid w:val="009F2BF8"/>
    <w:rsid w:val="009F4DA4"/>
    <w:rsid w:val="009F6DF5"/>
    <w:rsid w:val="009F7C69"/>
    <w:rsid w:val="00A03E1C"/>
    <w:rsid w:val="00A221C4"/>
    <w:rsid w:val="00A314CB"/>
    <w:rsid w:val="00A3570A"/>
    <w:rsid w:val="00A36A87"/>
    <w:rsid w:val="00A42D86"/>
    <w:rsid w:val="00A46226"/>
    <w:rsid w:val="00A472AF"/>
    <w:rsid w:val="00A576FF"/>
    <w:rsid w:val="00A64FAB"/>
    <w:rsid w:val="00A770F5"/>
    <w:rsid w:val="00A83AA7"/>
    <w:rsid w:val="00A9476E"/>
    <w:rsid w:val="00A969A5"/>
    <w:rsid w:val="00A976E1"/>
    <w:rsid w:val="00AA45B1"/>
    <w:rsid w:val="00AA644F"/>
    <w:rsid w:val="00AA6670"/>
    <w:rsid w:val="00AC1EA2"/>
    <w:rsid w:val="00AC481B"/>
    <w:rsid w:val="00AC6B03"/>
    <w:rsid w:val="00AE1C8E"/>
    <w:rsid w:val="00B1064B"/>
    <w:rsid w:val="00B1739C"/>
    <w:rsid w:val="00B17C17"/>
    <w:rsid w:val="00B26B83"/>
    <w:rsid w:val="00B3038F"/>
    <w:rsid w:val="00B324F6"/>
    <w:rsid w:val="00B534C4"/>
    <w:rsid w:val="00B56331"/>
    <w:rsid w:val="00B604E7"/>
    <w:rsid w:val="00B6182D"/>
    <w:rsid w:val="00B665CE"/>
    <w:rsid w:val="00B67347"/>
    <w:rsid w:val="00B67F29"/>
    <w:rsid w:val="00B70AC5"/>
    <w:rsid w:val="00B83C9A"/>
    <w:rsid w:val="00B85B09"/>
    <w:rsid w:val="00B978F2"/>
    <w:rsid w:val="00BA1305"/>
    <w:rsid w:val="00BB0604"/>
    <w:rsid w:val="00BB375A"/>
    <w:rsid w:val="00BC2A82"/>
    <w:rsid w:val="00BD7AAF"/>
    <w:rsid w:val="00BE0918"/>
    <w:rsid w:val="00BE0EF5"/>
    <w:rsid w:val="00BE1D52"/>
    <w:rsid w:val="00BF47D4"/>
    <w:rsid w:val="00BF7BEB"/>
    <w:rsid w:val="00C00CE2"/>
    <w:rsid w:val="00C045BD"/>
    <w:rsid w:val="00C10C65"/>
    <w:rsid w:val="00C13716"/>
    <w:rsid w:val="00C205AB"/>
    <w:rsid w:val="00C235CF"/>
    <w:rsid w:val="00C27D26"/>
    <w:rsid w:val="00C3040A"/>
    <w:rsid w:val="00C4426B"/>
    <w:rsid w:val="00C44639"/>
    <w:rsid w:val="00C47EF1"/>
    <w:rsid w:val="00C56B2D"/>
    <w:rsid w:val="00C60948"/>
    <w:rsid w:val="00CA052C"/>
    <w:rsid w:val="00CC3899"/>
    <w:rsid w:val="00CD4D98"/>
    <w:rsid w:val="00CE2EF9"/>
    <w:rsid w:val="00CE3297"/>
    <w:rsid w:val="00CE6587"/>
    <w:rsid w:val="00CE70B9"/>
    <w:rsid w:val="00CF0D20"/>
    <w:rsid w:val="00CF2DEA"/>
    <w:rsid w:val="00CF7676"/>
    <w:rsid w:val="00D0483D"/>
    <w:rsid w:val="00D04D6C"/>
    <w:rsid w:val="00D05EDD"/>
    <w:rsid w:val="00D10C80"/>
    <w:rsid w:val="00D121A6"/>
    <w:rsid w:val="00D130A1"/>
    <w:rsid w:val="00D15786"/>
    <w:rsid w:val="00D15DD5"/>
    <w:rsid w:val="00D16A3A"/>
    <w:rsid w:val="00D178C9"/>
    <w:rsid w:val="00D20898"/>
    <w:rsid w:val="00D20A80"/>
    <w:rsid w:val="00D32C7D"/>
    <w:rsid w:val="00D36328"/>
    <w:rsid w:val="00D454C5"/>
    <w:rsid w:val="00D57456"/>
    <w:rsid w:val="00D6315F"/>
    <w:rsid w:val="00D7127C"/>
    <w:rsid w:val="00D7137A"/>
    <w:rsid w:val="00D717EA"/>
    <w:rsid w:val="00D71F04"/>
    <w:rsid w:val="00D735B8"/>
    <w:rsid w:val="00D8441B"/>
    <w:rsid w:val="00D857D2"/>
    <w:rsid w:val="00D92CE0"/>
    <w:rsid w:val="00DA78C3"/>
    <w:rsid w:val="00DB5CF0"/>
    <w:rsid w:val="00DD0119"/>
    <w:rsid w:val="00DD2B3D"/>
    <w:rsid w:val="00DE04C3"/>
    <w:rsid w:val="00DE141A"/>
    <w:rsid w:val="00DE5CB4"/>
    <w:rsid w:val="00DF2DFF"/>
    <w:rsid w:val="00E04B93"/>
    <w:rsid w:val="00E05E69"/>
    <w:rsid w:val="00E06462"/>
    <w:rsid w:val="00E078CF"/>
    <w:rsid w:val="00E1632A"/>
    <w:rsid w:val="00E26085"/>
    <w:rsid w:val="00E31016"/>
    <w:rsid w:val="00E35932"/>
    <w:rsid w:val="00E37403"/>
    <w:rsid w:val="00E52C2B"/>
    <w:rsid w:val="00E57D87"/>
    <w:rsid w:val="00E62B99"/>
    <w:rsid w:val="00E86A67"/>
    <w:rsid w:val="00E91C1F"/>
    <w:rsid w:val="00E92841"/>
    <w:rsid w:val="00E964DA"/>
    <w:rsid w:val="00EA2661"/>
    <w:rsid w:val="00EA2E7E"/>
    <w:rsid w:val="00EA381A"/>
    <w:rsid w:val="00EA3DB6"/>
    <w:rsid w:val="00EA5DC9"/>
    <w:rsid w:val="00EB1F7F"/>
    <w:rsid w:val="00EC0EBD"/>
    <w:rsid w:val="00EC122C"/>
    <w:rsid w:val="00EC28EC"/>
    <w:rsid w:val="00EC2F17"/>
    <w:rsid w:val="00EE3D82"/>
    <w:rsid w:val="00EF1451"/>
    <w:rsid w:val="00EF5E68"/>
    <w:rsid w:val="00F174B0"/>
    <w:rsid w:val="00F22C84"/>
    <w:rsid w:val="00F40B53"/>
    <w:rsid w:val="00F445BB"/>
    <w:rsid w:val="00F4640C"/>
    <w:rsid w:val="00F468D5"/>
    <w:rsid w:val="00F56D4E"/>
    <w:rsid w:val="00F655BB"/>
    <w:rsid w:val="00F657B6"/>
    <w:rsid w:val="00F67F60"/>
    <w:rsid w:val="00F83155"/>
    <w:rsid w:val="00F92CEE"/>
    <w:rsid w:val="00F935A2"/>
    <w:rsid w:val="00F96588"/>
    <w:rsid w:val="00FA600C"/>
    <w:rsid w:val="00FB22A3"/>
    <w:rsid w:val="00FC43C0"/>
    <w:rsid w:val="00FC755D"/>
    <w:rsid w:val="00FD213D"/>
    <w:rsid w:val="00FE4A58"/>
    <w:rsid w:val="00FE73A6"/>
    <w:rsid w:val="00FF1357"/>
    <w:rsid w:val="00FF5EBF"/>
    <w:rsid w:val="00FF79F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987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B39"/>
    <w:pPr>
      <w:ind w:firstLine="360"/>
    </w:pPr>
    <w:rPr>
      <w:sz w:val="22"/>
      <w:szCs w:val="22"/>
      <w:lang w:bidi="en-US"/>
    </w:rPr>
  </w:style>
  <w:style w:type="paragraph" w:styleId="Heading1">
    <w:name w:val="heading 1"/>
    <w:basedOn w:val="NoSpacing"/>
    <w:next w:val="Normal"/>
    <w:link w:val="Heading1Char"/>
    <w:uiPriority w:val="9"/>
    <w:qFormat/>
    <w:rsid w:val="00EA2661"/>
    <w:pPr>
      <w:framePr w:hSpace="187" w:wrap="around" w:vAnchor="page" w:hAnchor="page" w:xAlign="center" w:yAlign="center"/>
      <w:outlineLvl w:val="0"/>
    </w:pPr>
    <w:rPr>
      <w:rFonts w:ascii="Tw Cen MT" w:eastAsiaTheme="majorEastAsia" w:hAnsi="Tw Cen MT" w:cstheme="majorBidi"/>
      <w:sz w:val="72"/>
      <w:szCs w:val="72"/>
    </w:rPr>
  </w:style>
  <w:style w:type="paragraph" w:styleId="Heading2">
    <w:name w:val="heading 2"/>
    <w:basedOn w:val="Normal"/>
    <w:next w:val="Normal"/>
    <w:link w:val="Heading2Char"/>
    <w:uiPriority w:val="9"/>
    <w:unhideWhenUsed/>
    <w:qFormat/>
    <w:rsid w:val="00717B39"/>
    <w:pPr>
      <w:pBdr>
        <w:bottom w:val="single" w:sz="8" w:space="1" w:color="4F81BD"/>
      </w:pBdr>
      <w:spacing w:before="200" w:after="80"/>
      <w:ind w:firstLine="0"/>
      <w:outlineLvl w:val="1"/>
    </w:pPr>
    <w:rPr>
      <w:rFonts w:ascii="Cambria" w:hAnsi="Cambria"/>
      <w:color w:val="365F91"/>
      <w:sz w:val="24"/>
      <w:szCs w:val="24"/>
      <w:lang w:bidi="ar-SA"/>
    </w:rPr>
  </w:style>
  <w:style w:type="paragraph" w:styleId="Heading3">
    <w:name w:val="heading 3"/>
    <w:basedOn w:val="Normal"/>
    <w:next w:val="Normal"/>
    <w:link w:val="Heading3Char"/>
    <w:uiPriority w:val="9"/>
    <w:unhideWhenUsed/>
    <w:qFormat/>
    <w:rsid w:val="00717B39"/>
    <w:pPr>
      <w:spacing w:before="200" w:after="80"/>
      <w:ind w:firstLine="0"/>
      <w:outlineLvl w:val="2"/>
    </w:pPr>
    <w:rPr>
      <w:rFonts w:ascii="Cambria" w:hAnsi="Cambria"/>
      <w:b/>
      <w:sz w:val="24"/>
      <w:szCs w:val="24"/>
    </w:rPr>
  </w:style>
  <w:style w:type="paragraph" w:styleId="Heading4">
    <w:name w:val="heading 4"/>
    <w:basedOn w:val="Normal"/>
    <w:next w:val="Normal"/>
    <w:link w:val="Heading4Char"/>
    <w:uiPriority w:val="9"/>
    <w:unhideWhenUsed/>
    <w:qFormat/>
    <w:rsid w:val="00717B39"/>
    <w:pPr>
      <w:pBdr>
        <w:bottom w:val="single" w:sz="4" w:space="2" w:color="B8CCE4"/>
      </w:pBdr>
      <w:spacing w:before="200" w:after="80"/>
      <w:ind w:firstLine="0"/>
      <w:outlineLvl w:val="3"/>
    </w:pPr>
    <w:rPr>
      <w:rFonts w:ascii="Cambria" w:hAnsi="Cambria"/>
      <w:i/>
      <w:iCs/>
      <w:color w:val="4F81BD"/>
      <w:sz w:val="24"/>
      <w:szCs w:val="24"/>
      <w:lang w:bidi="ar-SA"/>
    </w:rPr>
  </w:style>
  <w:style w:type="paragraph" w:styleId="Heading5">
    <w:name w:val="heading 5"/>
    <w:basedOn w:val="Normal"/>
    <w:next w:val="Normal"/>
    <w:link w:val="Heading5Char"/>
    <w:uiPriority w:val="9"/>
    <w:semiHidden/>
    <w:unhideWhenUsed/>
    <w:qFormat/>
    <w:rsid w:val="00717B39"/>
    <w:pPr>
      <w:spacing w:before="200" w:after="80"/>
      <w:ind w:firstLine="0"/>
      <w:outlineLvl w:val="4"/>
    </w:pPr>
    <w:rPr>
      <w:rFonts w:ascii="Cambria" w:hAnsi="Cambria"/>
      <w:color w:val="4F81BD"/>
      <w:sz w:val="20"/>
      <w:szCs w:val="20"/>
      <w:lang w:bidi="ar-SA"/>
    </w:rPr>
  </w:style>
  <w:style w:type="paragraph" w:styleId="Heading6">
    <w:name w:val="heading 6"/>
    <w:basedOn w:val="Normal"/>
    <w:next w:val="Normal"/>
    <w:link w:val="Heading6Char"/>
    <w:uiPriority w:val="9"/>
    <w:semiHidden/>
    <w:unhideWhenUsed/>
    <w:qFormat/>
    <w:rsid w:val="00717B39"/>
    <w:pPr>
      <w:spacing w:before="280" w:after="100"/>
      <w:ind w:firstLine="0"/>
      <w:outlineLvl w:val="5"/>
    </w:pPr>
    <w:rPr>
      <w:rFonts w:ascii="Cambria" w:hAnsi="Cambria"/>
      <w:i/>
      <w:iCs/>
      <w:color w:val="4F81BD"/>
      <w:sz w:val="20"/>
      <w:szCs w:val="20"/>
      <w:lang w:bidi="ar-SA"/>
    </w:rPr>
  </w:style>
  <w:style w:type="paragraph" w:styleId="Heading7">
    <w:name w:val="heading 7"/>
    <w:basedOn w:val="Normal"/>
    <w:next w:val="Normal"/>
    <w:link w:val="Heading7Char"/>
    <w:uiPriority w:val="9"/>
    <w:semiHidden/>
    <w:unhideWhenUsed/>
    <w:qFormat/>
    <w:rsid w:val="00717B39"/>
    <w:pPr>
      <w:spacing w:before="320" w:after="100"/>
      <w:ind w:firstLine="0"/>
      <w:outlineLvl w:val="6"/>
    </w:pPr>
    <w:rPr>
      <w:rFonts w:ascii="Cambria" w:hAnsi="Cambria"/>
      <w:b/>
      <w:bCs/>
      <w:color w:val="9BBB59"/>
      <w:sz w:val="20"/>
      <w:szCs w:val="20"/>
      <w:lang w:bidi="ar-SA"/>
    </w:rPr>
  </w:style>
  <w:style w:type="paragraph" w:styleId="Heading8">
    <w:name w:val="heading 8"/>
    <w:basedOn w:val="Normal"/>
    <w:next w:val="Normal"/>
    <w:link w:val="Heading8Char"/>
    <w:uiPriority w:val="9"/>
    <w:semiHidden/>
    <w:unhideWhenUsed/>
    <w:qFormat/>
    <w:rsid w:val="00717B39"/>
    <w:pPr>
      <w:spacing w:before="320" w:after="100"/>
      <w:ind w:firstLine="0"/>
      <w:outlineLvl w:val="7"/>
    </w:pPr>
    <w:rPr>
      <w:rFonts w:ascii="Cambria" w:hAnsi="Cambria"/>
      <w:b/>
      <w:bCs/>
      <w:i/>
      <w:iCs/>
      <w:color w:val="9BBB59"/>
      <w:sz w:val="20"/>
      <w:szCs w:val="20"/>
      <w:lang w:bidi="ar-SA"/>
    </w:rPr>
  </w:style>
  <w:style w:type="paragraph" w:styleId="Heading9">
    <w:name w:val="heading 9"/>
    <w:basedOn w:val="Normal"/>
    <w:next w:val="Normal"/>
    <w:link w:val="Heading9Char"/>
    <w:uiPriority w:val="9"/>
    <w:semiHidden/>
    <w:unhideWhenUsed/>
    <w:qFormat/>
    <w:rsid w:val="00717B39"/>
    <w:pPr>
      <w:spacing w:before="320" w:after="100"/>
      <w:ind w:firstLine="0"/>
      <w:outlineLvl w:val="8"/>
    </w:pPr>
    <w:rPr>
      <w:rFonts w:ascii="Cambria" w:hAnsi="Cambria"/>
      <w:i/>
      <w:iCs/>
      <w:color w:val="9BBB59"/>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661"/>
    <w:rPr>
      <w:rFonts w:ascii="Tw Cen MT" w:eastAsiaTheme="majorEastAsia" w:hAnsi="Tw Cen MT" w:cstheme="majorBidi"/>
      <w:sz w:val="72"/>
      <w:szCs w:val="72"/>
      <w:lang w:bidi="en-US"/>
    </w:rPr>
  </w:style>
  <w:style w:type="character" w:customStyle="1" w:styleId="Heading2Char">
    <w:name w:val="Heading 2 Char"/>
    <w:basedOn w:val="DefaultParagraphFont"/>
    <w:link w:val="Heading2"/>
    <w:uiPriority w:val="9"/>
    <w:rsid w:val="00717B3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717B39"/>
    <w:rPr>
      <w:rFonts w:ascii="Cambria" w:hAnsi="Cambria"/>
      <w:b/>
      <w:sz w:val="24"/>
      <w:szCs w:val="24"/>
      <w:lang w:bidi="en-US"/>
    </w:rPr>
  </w:style>
  <w:style w:type="character" w:customStyle="1" w:styleId="Heading4Char">
    <w:name w:val="Heading 4 Char"/>
    <w:basedOn w:val="DefaultParagraphFont"/>
    <w:link w:val="Heading4"/>
    <w:uiPriority w:val="9"/>
    <w:rsid w:val="00717B39"/>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semiHidden/>
    <w:rsid w:val="00717B39"/>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717B39"/>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717B39"/>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717B39"/>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717B39"/>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717B39"/>
    <w:rPr>
      <w:b/>
      <w:bCs/>
      <w:sz w:val="18"/>
      <w:szCs w:val="18"/>
    </w:rPr>
  </w:style>
  <w:style w:type="paragraph" w:styleId="Title">
    <w:name w:val="Title"/>
    <w:basedOn w:val="Normal"/>
    <w:next w:val="Normal"/>
    <w:link w:val="TitleChar"/>
    <w:uiPriority w:val="10"/>
    <w:qFormat/>
    <w:rsid w:val="00717B39"/>
    <w:pPr>
      <w:pBdr>
        <w:top w:val="single" w:sz="8" w:space="10" w:color="A7BFDE"/>
        <w:bottom w:val="single" w:sz="24" w:space="15" w:color="9BBB59"/>
      </w:pBdr>
      <w:ind w:firstLine="0"/>
      <w:jc w:val="center"/>
    </w:pPr>
    <w:rPr>
      <w:rFonts w:ascii="Cambria" w:hAnsi="Cambria"/>
      <w:i/>
      <w:iCs/>
      <w:color w:val="243F60"/>
      <w:sz w:val="60"/>
      <w:szCs w:val="60"/>
      <w:lang w:bidi="ar-SA"/>
    </w:rPr>
  </w:style>
  <w:style w:type="character" w:customStyle="1" w:styleId="TitleChar">
    <w:name w:val="Title Char"/>
    <w:basedOn w:val="DefaultParagraphFont"/>
    <w:link w:val="Title"/>
    <w:uiPriority w:val="10"/>
    <w:rsid w:val="00717B39"/>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717B39"/>
    <w:pPr>
      <w:spacing w:before="200" w:after="900"/>
      <w:ind w:firstLine="0"/>
      <w:jc w:val="right"/>
    </w:pPr>
    <w:rPr>
      <w:i/>
      <w:iCs/>
      <w:sz w:val="24"/>
      <w:szCs w:val="24"/>
      <w:lang w:bidi="ar-SA"/>
    </w:rPr>
  </w:style>
  <w:style w:type="character" w:customStyle="1" w:styleId="SubtitleChar">
    <w:name w:val="Subtitle Char"/>
    <w:basedOn w:val="DefaultParagraphFont"/>
    <w:link w:val="Subtitle"/>
    <w:uiPriority w:val="11"/>
    <w:rsid w:val="00717B39"/>
    <w:rPr>
      <w:rFonts w:ascii="Calibri"/>
      <w:i/>
      <w:iCs/>
      <w:sz w:val="24"/>
      <w:szCs w:val="24"/>
    </w:rPr>
  </w:style>
  <w:style w:type="character" w:styleId="Strong">
    <w:name w:val="Strong"/>
    <w:basedOn w:val="DefaultParagraphFont"/>
    <w:uiPriority w:val="22"/>
    <w:qFormat/>
    <w:rsid w:val="00717B39"/>
    <w:rPr>
      <w:b/>
      <w:bCs/>
      <w:spacing w:val="0"/>
    </w:rPr>
  </w:style>
  <w:style w:type="character" w:styleId="Emphasis">
    <w:name w:val="Emphasis"/>
    <w:uiPriority w:val="20"/>
    <w:qFormat/>
    <w:rsid w:val="00717B39"/>
    <w:rPr>
      <w:b/>
      <w:bCs/>
      <w:i/>
      <w:iCs/>
      <w:color w:val="5A5A5A"/>
    </w:rPr>
  </w:style>
  <w:style w:type="paragraph" w:styleId="NoSpacing">
    <w:name w:val="No Spacing"/>
    <w:basedOn w:val="Normal"/>
    <w:link w:val="NoSpacingChar"/>
    <w:uiPriority w:val="1"/>
    <w:qFormat/>
    <w:rsid w:val="00717B39"/>
    <w:pPr>
      <w:ind w:firstLine="0"/>
    </w:pPr>
  </w:style>
  <w:style w:type="character" w:customStyle="1" w:styleId="NoSpacingChar">
    <w:name w:val="No Spacing Char"/>
    <w:basedOn w:val="DefaultParagraphFont"/>
    <w:link w:val="NoSpacing"/>
    <w:uiPriority w:val="1"/>
    <w:rsid w:val="00717B39"/>
    <w:rPr>
      <w:sz w:val="22"/>
      <w:szCs w:val="22"/>
      <w:lang w:bidi="en-US"/>
    </w:rPr>
  </w:style>
  <w:style w:type="paragraph" w:styleId="ListParagraph">
    <w:name w:val="List Paragraph"/>
    <w:basedOn w:val="Normal"/>
    <w:link w:val="ListParagraphChar"/>
    <w:uiPriority w:val="34"/>
    <w:qFormat/>
    <w:rsid w:val="009F4DA4"/>
    <w:pPr>
      <w:numPr>
        <w:numId w:val="1"/>
      </w:numPr>
      <w:contextualSpacing/>
    </w:pPr>
    <w:rPr>
      <w:sz w:val="21"/>
      <w:szCs w:val="21"/>
    </w:rPr>
  </w:style>
  <w:style w:type="paragraph" w:styleId="Quote">
    <w:name w:val="Quote"/>
    <w:basedOn w:val="Normal"/>
    <w:next w:val="Normal"/>
    <w:link w:val="QuoteChar"/>
    <w:uiPriority w:val="29"/>
    <w:qFormat/>
    <w:rsid w:val="00717B39"/>
    <w:rPr>
      <w:rFonts w:ascii="Cambria" w:hAnsi="Cambria"/>
      <w:i/>
      <w:iCs/>
      <w:color w:val="5A5A5A"/>
      <w:sz w:val="20"/>
      <w:szCs w:val="20"/>
      <w:lang w:bidi="ar-SA"/>
    </w:rPr>
  </w:style>
  <w:style w:type="character" w:customStyle="1" w:styleId="QuoteChar">
    <w:name w:val="Quote Char"/>
    <w:basedOn w:val="DefaultParagraphFont"/>
    <w:link w:val="Quote"/>
    <w:uiPriority w:val="29"/>
    <w:rsid w:val="00717B39"/>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717B3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bidi="ar-SA"/>
    </w:rPr>
  </w:style>
  <w:style w:type="character" w:customStyle="1" w:styleId="IntenseQuoteChar">
    <w:name w:val="Intense Quote Char"/>
    <w:basedOn w:val="DefaultParagraphFont"/>
    <w:link w:val="IntenseQuote"/>
    <w:uiPriority w:val="30"/>
    <w:rsid w:val="00717B39"/>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717B39"/>
    <w:rPr>
      <w:i/>
      <w:iCs/>
      <w:color w:val="5A5A5A"/>
    </w:rPr>
  </w:style>
  <w:style w:type="character" w:styleId="IntenseEmphasis">
    <w:name w:val="Intense Emphasis"/>
    <w:uiPriority w:val="21"/>
    <w:qFormat/>
    <w:rsid w:val="00717B39"/>
    <w:rPr>
      <w:b/>
      <w:bCs/>
      <w:i/>
      <w:iCs/>
      <w:color w:val="4F81BD"/>
      <w:sz w:val="22"/>
      <w:szCs w:val="22"/>
    </w:rPr>
  </w:style>
  <w:style w:type="character" w:styleId="SubtleReference">
    <w:name w:val="Subtle Reference"/>
    <w:uiPriority w:val="31"/>
    <w:qFormat/>
    <w:rsid w:val="00717B39"/>
    <w:rPr>
      <w:color w:val="auto"/>
      <w:u w:val="single" w:color="9BBB59"/>
    </w:rPr>
  </w:style>
  <w:style w:type="character" w:styleId="IntenseReference">
    <w:name w:val="Intense Reference"/>
    <w:basedOn w:val="DefaultParagraphFont"/>
    <w:uiPriority w:val="32"/>
    <w:qFormat/>
    <w:rsid w:val="00717B39"/>
    <w:rPr>
      <w:b/>
      <w:bCs/>
      <w:color w:val="76923C"/>
      <w:u w:val="single" w:color="9BBB59"/>
    </w:rPr>
  </w:style>
  <w:style w:type="character" w:styleId="BookTitle">
    <w:name w:val="Book Title"/>
    <w:basedOn w:val="DefaultParagraphFont"/>
    <w:uiPriority w:val="33"/>
    <w:qFormat/>
    <w:rsid w:val="00717B39"/>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17B39"/>
    <w:pPr>
      <w:framePr w:wrap="around"/>
      <w:outlineLvl w:val="9"/>
    </w:pPr>
  </w:style>
  <w:style w:type="paragraph" w:styleId="TOC2">
    <w:name w:val="toc 2"/>
    <w:basedOn w:val="Normal"/>
    <w:next w:val="Normal"/>
    <w:autoRedefine/>
    <w:uiPriority w:val="39"/>
    <w:rsid w:val="00562D14"/>
    <w:pPr>
      <w:spacing w:after="200"/>
      <w:ind w:firstLine="0"/>
      <w:jc w:val="both"/>
    </w:pPr>
    <w:rPr>
      <w:rFonts w:asciiTheme="majorHAnsi" w:eastAsiaTheme="majorEastAsia" w:hAnsiTheme="majorHAnsi" w:cstheme="majorBidi"/>
      <w:lang w:val="en-GB"/>
    </w:rPr>
  </w:style>
  <w:style w:type="paragraph" w:styleId="Header">
    <w:name w:val="header"/>
    <w:basedOn w:val="Normal"/>
    <w:link w:val="HeaderChar"/>
    <w:uiPriority w:val="99"/>
    <w:unhideWhenUsed/>
    <w:rsid w:val="00254779"/>
    <w:pPr>
      <w:tabs>
        <w:tab w:val="center" w:pos="4680"/>
        <w:tab w:val="right" w:pos="9360"/>
      </w:tabs>
    </w:pPr>
  </w:style>
  <w:style w:type="character" w:customStyle="1" w:styleId="HeaderChar">
    <w:name w:val="Header Char"/>
    <w:basedOn w:val="DefaultParagraphFont"/>
    <w:link w:val="Header"/>
    <w:uiPriority w:val="99"/>
    <w:rsid w:val="00254779"/>
    <w:rPr>
      <w:sz w:val="22"/>
      <w:szCs w:val="22"/>
      <w:lang w:bidi="en-US"/>
    </w:rPr>
  </w:style>
  <w:style w:type="paragraph" w:styleId="Footer">
    <w:name w:val="footer"/>
    <w:basedOn w:val="Normal"/>
    <w:link w:val="FooterChar"/>
    <w:uiPriority w:val="99"/>
    <w:unhideWhenUsed/>
    <w:rsid w:val="00254779"/>
    <w:pPr>
      <w:tabs>
        <w:tab w:val="center" w:pos="4680"/>
        <w:tab w:val="right" w:pos="9360"/>
      </w:tabs>
    </w:pPr>
  </w:style>
  <w:style w:type="character" w:customStyle="1" w:styleId="FooterChar">
    <w:name w:val="Footer Char"/>
    <w:basedOn w:val="DefaultParagraphFont"/>
    <w:link w:val="Footer"/>
    <w:uiPriority w:val="99"/>
    <w:rsid w:val="00254779"/>
    <w:rPr>
      <w:sz w:val="22"/>
      <w:szCs w:val="22"/>
      <w:lang w:bidi="en-US"/>
    </w:rPr>
  </w:style>
  <w:style w:type="paragraph" w:styleId="BalloonText">
    <w:name w:val="Balloon Text"/>
    <w:basedOn w:val="Normal"/>
    <w:link w:val="BalloonTextChar"/>
    <w:uiPriority w:val="99"/>
    <w:semiHidden/>
    <w:unhideWhenUsed/>
    <w:rsid w:val="00254779"/>
    <w:rPr>
      <w:rFonts w:ascii="Tahoma" w:hAnsi="Tahoma" w:cs="Tahoma"/>
      <w:sz w:val="16"/>
      <w:szCs w:val="16"/>
    </w:rPr>
  </w:style>
  <w:style w:type="character" w:customStyle="1" w:styleId="BalloonTextChar">
    <w:name w:val="Balloon Text Char"/>
    <w:basedOn w:val="DefaultParagraphFont"/>
    <w:link w:val="BalloonText"/>
    <w:uiPriority w:val="99"/>
    <w:semiHidden/>
    <w:rsid w:val="00254779"/>
    <w:rPr>
      <w:rFonts w:ascii="Tahoma" w:hAnsi="Tahoma" w:cs="Tahoma"/>
      <w:sz w:val="16"/>
      <w:szCs w:val="16"/>
      <w:lang w:bidi="en-US"/>
    </w:rPr>
  </w:style>
  <w:style w:type="character" w:styleId="PlaceholderText">
    <w:name w:val="Placeholder Text"/>
    <w:basedOn w:val="DefaultParagraphFont"/>
    <w:uiPriority w:val="99"/>
    <w:semiHidden/>
    <w:rsid w:val="00254779"/>
    <w:rPr>
      <w:color w:val="808080"/>
    </w:rPr>
  </w:style>
  <w:style w:type="table" w:styleId="TableGrid">
    <w:name w:val="Table Grid"/>
    <w:basedOn w:val="TableNormal"/>
    <w:uiPriority w:val="59"/>
    <w:rsid w:val="002C35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ainHeading">
    <w:name w:val="Main Heading"/>
    <w:basedOn w:val="Normal"/>
    <w:link w:val="MainHeadingChar"/>
    <w:qFormat/>
    <w:rsid w:val="00EA2661"/>
    <w:pPr>
      <w:ind w:firstLine="0"/>
    </w:pPr>
    <w:rPr>
      <w:rFonts w:ascii="Tw Cen MT" w:hAnsi="Tw Cen MT"/>
      <w:sz w:val="32"/>
      <w:szCs w:val="32"/>
    </w:rPr>
  </w:style>
  <w:style w:type="paragraph" w:customStyle="1" w:styleId="Sub-heading">
    <w:name w:val="Sub-heading"/>
    <w:basedOn w:val="Heading3"/>
    <w:link w:val="Sub-headingChar"/>
    <w:qFormat/>
    <w:rsid w:val="00EA2661"/>
    <w:rPr>
      <w:rFonts w:ascii="Tw Cen MT" w:hAnsi="Tw Cen MT"/>
      <w:b w:val="0"/>
      <w:sz w:val="32"/>
      <w:szCs w:val="32"/>
    </w:rPr>
  </w:style>
  <w:style w:type="character" w:customStyle="1" w:styleId="MainHeadingChar">
    <w:name w:val="Main Heading Char"/>
    <w:basedOn w:val="DefaultParagraphFont"/>
    <w:link w:val="MainHeading"/>
    <w:rsid w:val="00EA2661"/>
    <w:rPr>
      <w:rFonts w:ascii="Tw Cen MT" w:hAnsi="Tw Cen MT"/>
      <w:sz w:val="32"/>
      <w:szCs w:val="32"/>
      <w:lang w:bidi="en-US"/>
    </w:rPr>
  </w:style>
  <w:style w:type="paragraph" w:customStyle="1" w:styleId="Bodytext">
    <w:name w:val="Body text"/>
    <w:basedOn w:val="ListParagraph"/>
    <w:link w:val="BodytextChar"/>
    <w:rsid w:val="00703C7E"/>
    <w:pPr>
      <w:spacing w:after="120" w:line="264" w:lineRule="auto"/>
      <w:ind w:firstLine="0"/>
      <w:contextualSpacing w:val="0"/>
      <w:jc w:val="both"/>
    </w:pPr>
    <w:rPr>
      <w:lang w:bidi="ar-SA"/>
    </w:rPr>
  </w:style>
  <w:style w:type="character" w:customStyle="1" w:styleId="Sub-headingChar">
    <w:name w:val="Sub-heading Char"/>
    <w:basedOn w:val="Heading3Char"/>
    <w:link w:val="Sub-heading"/>
    <w:rsid w:val="00EA2661"/>
    <w:rPr>
      <w:rFonts w:ascii="Tw Cen MT" w:hAnsi="Tw Cen MT"/>
      <w:sz w:val="32"/>
      <w:szCs w:val="32"/>
    </w:rPr>
  </w:style>
  <w:style w:type="character" w:customStyle="1" w:styleId="ListParagraphChar">
    <w:name w:val="List Paragraph Char"/>
    <w:basedOn w:val="DefaultParagraphFont"/>
    <w:link w:val="ListParagraph"/>
    <w:uiPriority w:val="34"/>
    <w:rsid w:val="009F4DA4"/>
    <w:rPr>
      <w:sz w:val="21"/>
      <w:szCs w:val="21"/>
      <w:lang w:bidi="en-US"/>
    </w:rPr>
  </w:style>
  <w:style w:type="character" w:customStyle="1" w:styleId="BodytextChar">
    <w:name w:val="Body text Char"/>
    <w:basedOn w:val="ListParagraphChar"/>
    <w:link w:val="Bodytext"/>
    <w:rsid w:val="00703C7E"/>
  </w:style>
  <w:style w:type="table" w:customStyle="1" w:styleId="LightShading1">
    <w:name w:val="Light Shading1"/>
    <w:basedOn w:val="TableNormal"/>
    <w:uiPriority w:val="60"/>
    <w:rsid w:val="0030430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7A0529"/>
    <w:rPr>
      <w:sz w:val="16"/>
      <w:szCs w:val="16"/>
    </w:rPr>
  </w:style>
  <w:style w:type="paragraph" w:styleId="CommentText">
    <w:name w:val="annotation text"/>
    <w:basedOn w:val="Normal"/>
    <w:link w:val="CommentTextChar"/>
    <w:uiPriority w:val="99"/>
    <w:semiHidden/>
    <w:unhideWhenUsed/>
    <w:rsid w:val="007A0529"/>
    <w:rPr>
      <w:sz w:val="20"/>
      <w:szCs w:val="20"/>
    </w:rPr>
  </w:style>
  <w:style w:type="character" w:customStyle="1" w:styleId="CommentTextChar">
    <w:name w:val="Comment Text Char"/>
    <w:basedOn w:val="DefaultParagraphFont"/>
    <w:link w:val="CommentText"/>
    <w:uiPriority w:val="99"/>
    <w:semiHidden/>
    <w:rsid w:val="007A0529"/>
    <w:rPr>
      <w:lang w:bidi="en-US"/>
    </w:rPr>
  </w:style>
  <w:style w:type="paragraph" w:styleId="CommentSubject">
    <w:name w:val="annotation subject"/>
    <w:basedOn w:val="CommentText"/>
    <w:next w:val="CommentText"/>
    <w:link w:val="CommentSubjectChar"/>
    <w:uiPriority w:val="99"/>
    <w:semiHidden/>
    <w:unhideWhenUsed/>
    <w:rsid w:val="007A0529"/>
    <w:rPr>
      <w:b/>
      <w:bCs/>
    </w:rPr>
  </w:style>
  <w:style w:type="character" w:customStyle="1" w:styleId="CommentSubjectChar">
    <w:name w:val="Comment Subject Char"/>
    <w:basedOn w:val="CommentTextChar"/>
    <w:link w:val="CommentSubject"/>
    <w:uiPriority w:val="99"/>
    <w:semiHidden/>
    <w:rsid w:val="007A0529"/>
    <w:rPr>
      <w:b/>
      <w:bCs/>
    </w:rPr>
  </w:style>
</w:styles>
</file>

<file path=word/webSettings.xml><?xml version="1.0" encoding="utf-8"?>
<w:webSettings xmlns:r="http://schemas.openxmlformats.org/officeDocument/2006/relationships" xmlns:w="http://schemas.openxmlformats.org/wordprocessingml/2006/main">
  <w:divs>
    <w:div w:id="220478808">
      <w:bodyDiv w:val="1"/>
      <w:marLeft w:val="0"/>
      <w:marRight w:val="0"/>
      <w:marTop w:val="0"/>
      <w:marBottom w:val="0"/>
      <w:divBdr>
        <w:top w:val="none" w:sz="0" w:space="0" w:color="auto"/>
        <w:left w:val="none" w:sz="0" w:space="0" w:color="auto"/>
        <w:bottom w:val="none" w:sz="0" w:space="0" w:color="auto"/>
        <w:right w:val="none" w:sz="0" w:space="0" w:color="auto"/>
      </w:divBdr>
    </w:div>
    <w:div w:id="1482573933">
      <w:bodyDiv w:val="1"/>
      <w:marLeft w:val="0"/>
      <w:marRight w:val="0"/>
      <w:marTop w:val="0"/>
      <w:marBottom w:val="0"/>
      <w:divBdr>
        <w:top w:val="none" w:sz="0" w:space="0" w:color="auto"/>
        <w:left w:val="none" w:sz="0" w:space="0" w:color="auto"/>
        <w:bottom w:val="none" w:sz="0" w:space="0" w:color="auto"/>
        <w:right w:val="none" w:sz="0" w:space="0" w:color="auto"/>
      </w:divBdr>
    </w:div>
    <w:div w:id="184539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chart" Target="charts/chart5.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hart" Target="charts/chart8.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4.xml"/><Relationship Id="rId25" Type="http://schemas.openxmlformats.org/officeDocument/2006/relationships/chart" Target="charts/chart12.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11.xml"/><Relationship Id="rId5" Type="http://schemas.openxmlformats.org/officeDocument/2006/relationships/customXml" Target="../customXml/item5.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chart" Target="charts/chart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lgn="l">
              <a:defRPr/>
            </a:pPr>
            <a:r>
              <a:rPr lang="en-US" sz="1000"/>
              <a:t>Figure 1- When you earn money, what do you do with it?</a:t>
            </a:r>
          </a:p>
          <a:p>
            <a:pPr algn="l">
              <a:defRPr/>
            </a:pPr>
            <a:r>
              <a:rPr lang="en-US" sz="1000" b="0" i="1"/>
              <a:t>Percentage of working women and men</a:t>
            </a:r>
          </a:p>
        </c:rich>
      </c:tx>
      <c:layout>
        <c:manualLayout>
          <c:xMode val="edge"/>
          <c:yMode val="edge"/>
          <c:x val="0.13031545553977344"/>
          <c:y val="6.369426751592358E-2"/>
        </c:manualLayout>
      </c:layout>
      <c:spPr>
        <a:ln>
          <a:solidFill>
            <a:sysClr val="window" lastClr="FFFFFF">
              <a:lumMod val="65000"/>
            </a:sysClr>
          </a:solidFill>
        </a:ln>
      </c:spPr>
    </c:title>
    <c:plotArea>
      <c:layout/>
      <c:barChart>
        <c:barDir val="col"/>
        <c:grouping val="clustered"/>
        <c:ser>
          <c:idx val="0"/>
          <c:order val="0"/>
          <c:tx>
            <c:strRef>
              <c:f>Sheet1!$B$1</c:f>
              <c:strCache>
                <c:ptCount val="1"/>
                <c:pt idx="0">
                  <c:v>Women (n=799)</c:v>
                </c:pt>
              </c:strCache>
            </c:strRef>
          </c:tx>
          <c:spPr>
            <a:solidFill>
              <a:srgbClr val="002060"/>
            </a:solidFill>
          </c:spPr>
          <c:dLbls>
            <c:dLbl>
              <c:idx val="0"/>
              <c:spPr/>
              <c:txPr>
                <a:bodyPr/>
                <a:lstStyle/>
                <a:p>
                  <a:pPr>
                    <a:defRPr b="1">
                      <a:solidFill>
                        <a:schemeClr val="bg1"/>
                      </a:solidFill>
                    </a:defRPr>
                  </a:pPr>
                  <a:endParaRPr lang="en-US"/>
                </a:p>
              </c:txPr>
            </c:dLbl>
            <c:dLbl>
              <c:idx val="1"/>
              <c:layout>
                <c:manualLayout>
                  <c:x val="-1.2586360894077601E-2"/>
                  <c:y val="2.4416260789892497E-3"/>
                </c:manualLayout>
              </c:layout>
              <c:spPr/>
              <c:txPr>
                <a:bodyPr/>
                <a:lstStyle/>
                <a:p>
                  <a:pPr>
                    <a:defRPr b="1"/>
                  </a:pPr>
                  <a:endParaRPr lang="en-US"/>
                </a:p>
              </c:txPr>
              <c:dLblPos val="outEnd"/>
              <c:showVal val="1"/>
            </c:dLbl>
            <c:dLbl>
              <c:idx val="2"/>
              <c:layout>
                <c:manualLayout>
                  <c:x val="0"/>
                  <c:y val="1.4071466460915279E-2"/>
                </c:manualLayout>
              </c:layout>
              <c:spPr/>
              <c:txPr>
                <a:bodyPr/>
                <a:lstStyle/>
                <a:p>
                  <a:pPr>
                    <a:defRPr b="1"/>
                  </a:pPr>
                  <a:endParaRPr lang="en-US"/>
                </a:p>
              </c:txPr>
              <c:dLblPos val="outEnd"/>
              <c:showVal val="1"/>
            </c:dLbl>
            <c:dLbl>
              <c:idx val="3"/>
              <c:spPr/>
              <c:txPr>
                <a:bodyPr/>
                <a:lstStyle/>
                <a:p>
                  <a:pPr>
                    <a:defRPr b="1">
                      <a:solidFill>
                        <a:schemeClr val="bg1"/>
                      </a:solidFill>
                    </a:defRPr>
                  </a:pPr>
                  <a:endParaRPr lang="en-US"/>
                </a:p>
              </c:txPr>
            </c:dLbl>
            <c:dLblPos val="inEnd"/>
            <c:showVal val="1"/>
          </c:dLbls>
          <c:cat>
            <c:strRef>
              <c:f>Sheet1!$A$2:$A$5</c:f>
              <c:strCache>
                <c:ptCount val="4"/>
                <c:pt idx="0">
                  <c:v>Keep it for personal use</c:v>
                </c:pt>
                <c:pt idx="1">
                  <c:v>Put it in a bank account to save</c:v>
                </c:pt>
                <c:pt idx="2">
                  <c:v>Give all of it to my spouse/parent to manage</c:v>
                </c:pt>
                <c:pt idx="3">
                  <c:v>Spend it on family/children</c:v>
                </c:pt>
              </c:strCache>
            </c:strRef>
          </c:cat>
          <c:val>
            <c:numRef>
              <c:f>Sheet1!$B$2:$B$5</c:f>
              <c:numCache>
                <c:formatCode>0%</c:formatCode>
                <c:ptCount val="4"/>
                <c:pt idx="0">
                  <c:v>0.4</c:v>
                </c:pt>
                <c:pt idx="1">
                  <c:v>0.04</c:v>
                </c:pt>
                <c:pt idx="2">
                  <c:v>7.0000000000000007E-2</c:v>
                </c:pt>
                <c:pt idx="3">
                  <c:v>0.49</c:v>
                </c:pt>
              </c:numCache>
            </c:numRef>
          </c:val>
        </c:ser>
        <c:ser>
          <c:idx val="1"/>
          <c:order val="1"/>
          <c:tx>
            <c:strRef>
              <c:f>Sheet1!$C$1</c:f>
              <c:strCache>
                <c:ptCount val="1"/>
                <c:pt idx="0">
                  <c:v>Men (n=607)</c:v>
                </c:pt>
              </c:strCache>
            </c:strRef>
          </c:tx>
          <c:spPr>
            <a:solidFill>
              <a:srgbClr val="C00000"/>
            </a:solidFill>
          </c:spPr>
          <c:dLbls>
            <c:dLbl>
              <c:idx val="0"/>
              <c:layout/>
              <c:spPr/>
              <c:txPr>
                <a:bodyPr/>
                <a:lstStyle/>
                <a:p>
                  <a:pPr>
                    <a:defRPr b="1">
                      <a:solidFill>
                        <a:schemeClr val="bg1"/>
                      </a:solidFill>
                    </a:defRPr>
                  </a:pPr>
                  <a:endParaRPr lang="en-US"/>
                </a:p>
              </c:txPr>
              <c:dLblPos val="inEnd"/>
              <c:showVal val="1"/>
            </c:dLbl>
            <c:dLbl>
              <c:idx val="1"/>
              <c:spPr/>
              <c:txPr>
                <a:bodyPr/>
                <a:lstStyle/>
                <a:p>
                  <a:pPr>
                    <a:defRPr b="1"/>
                  </a:pPr>
                  <a:endParaRPr lang="en-US"/>
                </a:p>
              </c:txPr>
            </c:dLbl>
            <c:dLbl>
              <c:idx val="2"/>
              <c:spPr/>
              <c:txPr>
                <a:bodyPr/>
                <a:lstStyle/>
                <a:p>
                  <a:pPr>
                    <a:defRPr b="1"/>
                  </a:pPr>
                  <a:endParaRPr lang="en-US"/>
                </a:p>
              </c:txPr>
            </c:dLbl>
            <c:dLbl>
              <c:idx val="3"/>
              <c:layout/>
              <c:spPr/>
              <c:txPr>
                <a:bodyPr/>
                <a:lstStyle/>
                <a:p>
                  <a:pPr>
                    <a:defRPr b="1">
                      <a:solidFill>
                        <a:schemeClr val="bg1"/>
                      </a:solidFill>
                    </a:defRPr>
                  </a:pPr>
                  <a:endParaRPr lang="en-US"/>
                </a:p>
              </c:txPr>
              <c:dLblPos val="inEnd"/>
              <c:showVal val="1"/>
            </c:dLbl>
            <c:showVal val="1"/>
          </c:dLbls>
          <c:cat>
            <c:strRef>
              <c:f>Sheet1!$A$2:$A$5</c:f>
              <c:strCache>
                <c:ptCount val="4"/>
                <c:pt idx="0">
                  <c:v>Keep it for personal use</c:v>
                </c:pt>
                <c:pt idx="1">
                  <c:v>Put it in a bank account to save</c:v>
                </c:pt>
                <c:pt idx="2">
                  <c:v>Give all of it to my spouse/parent to manage</c:v>
                </c:pt>
                <c:pt idx="3">
                  <c:v>Spend it on family/children</c:v>
                </c:pt>
              </c:strCache>
            </c:strRef>
          </c:cat>
          <c:val>
            <c:numRef>
              <c:f>Sheet1!$C$2:$C$5</c:f>
              <c:numCache>
                <c:formatCode>0%</c:formatCode>
                <c:ptCount val="4"/>
                <c:pt idx="0">
                  <c:v>0.27</c:v>
                </c:pt>
                <c:pt idx="1">
                  <c:v>0.06</c:v>
                </c:pt>
                <c:pt idx="2">
                  <c:v>0.05</c:v>
                </c:pt>
                <c:pt idx="3">
                  <c:v>0.62</c:v>
                </c:pt>
              </c:numCache>
            </c:numRef>
          </c:val>
        </c:ser>
        <c:dLbls>
          <c:showVal val="1"/>
        </c:dLbls>
        <c:gapWidth val="46"/>
        <c:overlap val="-25"/>
        <c:axId val="141541760"/>
        <c:axId val="143664256"/>
      </c:barChart>
      <c:catAx>
        <c:axId val="141541760"/>
        <c:scaling>
          <c:orientation val="minMax"/>
        </c:scaling>
        <c:axPos val="b"/>
        <c:majorTickMark val="none"/>
        <c:tickLblPos val="nextTo"/>
        <c:txPr>
          <a:bodyPr anchor="b" anchorCtr="1"/>
          <a:lstStyle/>
          <a:p>
            <a:pPr>
              <a:defRPr sz="1000" b="1"/>
            </a:pPr>
            <a:endParaRPr lang="en-US"/>
          </a:p>
        </c:txPr>
        <c:crossAx val="143664256"/>
        <c:crosses val="autoZero"/>
        <c:auto val="1"/>
        <c:lblAlgn val="ctr"/>
        <c:lblOffset val="100"/>
      </c:catAx>
      <c:valAx>
        <c:axId val="143664256"/>
        <c:scaling>
          <c:orientation val="minMax"/>
        </c:scaling>
        <c:delete val="1"/>
        <c:axPos val="l"/>
        <c:numFmt formatCode="0%" sourceLinked="1"/>
        <c:majorTickMark val="none"/>
        <c:tickLblPos val="none"/>
        <c:crossAx val="141541760"/>
        <c:crosses val="autoZero"/>
        <c:crossBetween val="between"/>
      </c:valAx>
    </c:plotArea>
    <c:legend>
      <c:legendPos val="b"/>
      <c:layout/>
      <c:spPr>
        <a:ln>
          <a:solidFill>
            <a:sysClr val="window" lastClr="FFFFFF">
              <a:lumMod val="65000"/>
            </a:sysClr>
          </a:solidFill>
        </a:ln>
      </c:spPr>
      <c:txPr>
        <a:bodyPr/>
        <a:lstStyle/>
        <a:p>
          <a:pPr>
            <a:defRPr b="1"/>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l">
              <a:defRPr/>
            </a:pPr>
            <a:r>
              <a:rPr lang="en-US" sz="1000" b="1" i="0" baseline="0">
                <a:latin typeface="+mn-lt"/>
              </a:rPr>
              <a:t>Figure 10- Do you personally have/own any of the following to use or sell as you please?</a:t>
            </a:r>
            <a:br>
              <a:rPr lang="en-US" sz="1000" b="1" i="0" baseline="0">
                <a:latin typeface="+mn-lt"/>
              </a:rPr>
            </a:br>
            <a:r>
              <a:rPr lang="en-US" sz="1000" b="0" i="1" baseline="0">
                <a:latin typeface="+mn-lt"/>
              </a:rPr>
              <a:t>Percentage of currently or formerly married women responding "yes" by whether or not working for pay</a:t>
            </a:r>
            <a:endParaRPr lang="en-US" sz="1000">
              <a:latin typeface="+mn-lt"/>
            </a:endParaRPr>
          </a:p>
        </c:rich>
      </c:tx>
      <c:layout/>
      <c:spPr>
        <a:ln>
          <a:solidFill>
            <a:sysClr val="window" lastClr="FFFFFF">
              <a:lumMod val="65000"/>
            </a:sysClr>
          </a:solidFill>
        </a:ln>
      </c:spPr>
    </c:title>
    <c:plotArea>
      <c:layout/>
      <c:barChart>
        <c:barDir val="col"/>
        <c:grouping val="clustered"/>
        <c:ser>
          <c:idx val="0"/>
          <c:order val="0"/>
          <c:tx>
            <c:strRef>
              <c:f>Sheet1!$B$1</c:f>
              <c:strCache>
                <c:ptCount val="1"/>
                <c:pt idx="0">
                  <c:v>Financial savings </c:v>
                </c:pt>
              </c:strCache>
            </c:strRef>
          </c:tx>
          <c:spPr>
            <a:solidFill>
              <a:srgbClr val="C00000"/>
            </a:solidFill>
          </c:spPr>
          <c:dLbls>
            <c:dLbl>
              <c:idx val="0"/>
              <c:layout>
                <c:manualLayout>
                  <c:x val="0"/>
                  <c:y val="8.8536812674744225E-2"/>
                </c:manualLayout>
              </c:layout>
              <c:showVal val="1"/>
            </c:dLbl>
            <c:dLbl>
              <c:idx val="1"/>
              <c:layout>
                <c:manualLayout>
                  <c:x val="0"/>
                  <c:y val="8.8536812674744225E-2"/>
                </c:manualLayout>
              </c:layout>
              <c:showVal val="1"/>
            </c:dLbl>
            <c:numFmt formatCode="0\%" sourceLinked="0"/>
            <c:txPr>
              <a:bodyPr/>
              <a:lstStyle/>
              <a:p>
                <a:pPr>
                  <a:defRPr b="1">
                    <a:solidFill>
                      <a:schemeClr val="bg1"/>
                    </a:solidFill>
                  </a:defRPr>
                </a:pPr>
                <a:endParaRPr lang="en-US"/>
              </a:p>
            </c:txPr>
            <c:showVal val="1"/>
          </c:dLbls>
          <c:cat>
            <c:strRef>
              <c:f>Sheet1!$A$2:$A$3</c:f>
              <c:strCache>
                <c:ptCount val="2"/>
                <c:pt idx="0">
                  <c:v>Works for pay (n=337)</c:v>
                </c:pt>
                <c:pt idx="1">
                  <c:v>Does not work for pay (n=944)</c:v>
                </c:pt>
              </c:strCache>
            </c:strRef>
          </c:cat>
          <c:val>
            <c:numRef>
              <c:f>Sheet1!$B$2:$B$3</c:f>
              <c:numCache>
                <c:formatCode>0</c:formatCode>
                <c:ptCount val="2"/>
                <c:pt idx="0">
                  <c:v>30.95</c:v>
                </c:pt>
                <c:pt idx="1">
                  <c:v>21.08</c:v>
                </c:pt>
              </c:numCache>
            </c:numRef>
          </c:val>
        </c:ser>
        <c:ser>
          <c:idx val="1"/>
          <c:order val="1"/>
          <c:tx>
            <c:strRef>
              <c:f>Sheet1!$C$1</c:f>
              <c:strCache>
                <c:ptCount val="1"/>
                <c:pt idx="0">
                  <c:v>Land or an apartment or house with the title in your name </c:v>
                </c:pt>
              </c:strCache>
            </c:strRef>
          </c:tx>
          <c:spPr>
            <a:solidFill>
              <a:srgbClr val="F57E1B"/>
            </a:solidFill>
          </c:spPr>
          <c:dLbls>
            <c:dLbl>
              <c:idx val="0"/>
              <c:layout>
                <c:manualLayout>
                  <c:x val="0"/>
                  <c:y val="8.3876980428704534E-2"/>
                </c:manualLayout>
              </c:layout>
              <c:showVal val="1"/>
            </c:dLbl>
            <c:dLbl>
              <c:idx val="1"/>
              <c:layout>
                <c:manualLayout>
                  <c:x val="0"/>
                  <c:y val="7.9217148182665426E-2"/>
                </c:manualLayout>
              </c:layout>
              <c:showVal val="1"/>
            </c:dLbl>
            <c:numFmt formatCode="0\%" sourceLinked="0"/>
            <c:txPr>
              <a:bodyPr/>
              <a:lstStyle/>
              <a:p>
                <a:pPr>
                  <a:defRPr b="1">
                    <a:solidFill>
                      <a:schemeClr val="bg1"/>
                    </a:solidFill>
                  </a:defRPr>
                </a:pPr>
                <a:endParaRPr lang="en-US"/>
              </a:p>
            </c:txPr>
            <c:showVal val="1"/>
          </c:dLbls>
          <c:cat>
            <c:strRef>
              <c:f>Sheet1!$A$2:$A$3</c:f>
              <c:strCache>
                <c:ptCount val="2"/>
                <c:pt idx="0">
                  <c:v>Works for pay (n=337)</c:v>
                </c:pt>
                <c:pt idx="1">
                  <c:v>Does not work for pay (n=944)</c:v>
                </c:pt>
              </c:strCache>
            </c:strRef>
          </c:cat>
          <c:val>
            <c:numRef>
              <c:f>Sheet1!$C$2:$C$3</c:f>
              <c:numCache>
                <c:formatCode>0</c:formatCode>
                <c:ptCount val="2"/>
                <c:pt idx="0">
                  <c:v>28.49</c:v>
                </c:pt>
                <c:pt idx="1">
                  <c:v>18.73</c:v>
                </c:pt>
              </c:numCache>
            </c:numRef>
          </c:val>
        </c:ser>
        <c:ser>
          <c:idx val="2"/>
          <c:order val="2"/>
          <c:tx>
            <c:strRef>
              <c:f>Sheet1!$D$1</c:f>
              <c:strCache>
                <c:ptCount val="1"/>
                <c:pt idx="0">
                  <c:v>Other items of high value such as a car or jewelry</c:v>
                </c:pt>
              </c:strCache>
            </c:strRef>
          </c:tx>
          <c:spPr>
            <a:solidFill>
              <a:srgbClr val="002060"/>
            </a:solidFill>
          </c:spPr>
          <c:dLbls>
            <c:dLbl>
              <c:idx val="0"/>
              <c:layout>
                <c:manualLayout>
                  <c:x val="0"/>
                  <c:y val="8.8536812674744225E-2"/>
                </c:manualLayout>
              </c:layout>
              <c:showVal val="1"/>
            </c:dLbl>
            <c:dLbl>
              <c:idx val="1"/>
              <c:layout>
                <c:manualLayout>
                  <c:x val="0"/>
                  <c:y val="8.8536812674744225E-2"/>
                </c:manualLayout>
              </c:layout>
              <c:showVal val="1"/>
            </c:dLbl>
            <c:numFmt formatCode="0\%" sourceLinked="0"/>
            <c:txPr>
              <a:bodyPr/>
              <a:lstStyle/>
              <a:p>
                <a:pPr>
                  <a:defRPr b="1">
                    <a:solidFill>
                      <a:schemeClr val="bg1"/>
                    </a:solidFill>
                  </a:defRPr>
                </a:pPr>
                <a:endParaRPr lang="en-US"/>
              </a:p>
            </c:txPr>
            <c:showVal val="1"/>
          </c:dLbls>
          <c:cat>
            <c:strRef>
              <c:f>Sheet1!$A$2:$A$3</c:f>
              <c:strCache>
                <c:ptCount val="2"/>
                <c:pt idx="0">
                  <c:v>Works for pay (n=337)</c:v>
                </c:pt>
                <c:pt idx="1">
                  <c:v>Does not work for pay (n=944)</c:v>
                </c:pt>
              </c:strCache>
            </c:strRef>
          </c:cat>
          <c:val>
            <c:numRef>
              <c:f>Sheet1!$D$2:$D$3</c:f>
              <c:numCache>
                <c:formatCode>0</c:formatCode>
                <c:ptCount val="2"/>
                <c:pt idx="0">
                  <c:v>44.809999999999995</c:v>
                </c:pt>
                <c:pt idx="1">
                  <c:v>32.770000000000003</c:v>
                </c:pt>
              </c:numCache>
            </c:numRef>
          </c:val>
        </c:ser>
        <c:gapWidth val="75"/>
        <c:overlap val="-25"/>
        <c:axId val="241754112"/>
        <c:axId val="241755648"/>
      </c:barChart>
      <c:catAx>
        <c:axId val="241754112"/>
        <c:scaling>
          <c:orientation val="minMax"/>
        </c:scaling>
        <c:axPos val="b"/>
        <c:majorTickMark val="none"/>
        <c:tickLblPos val="nextTo"/>
        <c:txPr>
          <a:bodyPr/>
          <a:lstStyle/>
          <a:p>
            <a:pPr>
              <a:defRPr b="1"/>
            </a:pPr>
            <a:endParaRPr lang="en-US"/>
          </a:p>
        </c:txPr>
        <c:crossAx val="241755648"/>
        <c:crosses val="autoZero"/>
        <c:auto val="1"/>
        <c:lblAlgn val="ctr"/>
        <c:lblOffset val="100"/>
      </c:catAx>
      <c:valAx>
        <c:axId val="241755648"/>
        <c:scaling>
          <c:orientation val="minMax"/>
          <c:max val="60"/>
          <c:min val="0"/>
        </c:scaling>
        <c:delete val="1"/>
        <c:axPos val="l"/>
        <c:numFmt formatCode="0" sourceLinked="1"/>
        <c:tickLblPos val="none"/>
        <c:crossAx val="241754112"/>
        <c:crosses val="autoZero"/>
        <c:crossBetween val="between"/>
      </c:valAx>
    </c:plotArea>
    <c:legend>
      <c:legendPos val="b"/>
      <c:layout/>
      <c:spPr>
        <a:ln>
          <a:solidFill>
            <a:sysClr val="window" lastClr="FFFFFF">
              <a:lumMod val="65000"/>
            </a:sysClr>
          </a:solidFill>
        </a:ln>
      </c:spPr>
      <c:txPr>
        <a:bodyPr/>
        <a:lstStyle/>
        <a:p>
          <a:pPr>
            <a:defRPr b="1"/>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l">
              <a:defRPr/>
            </a:pPr>
            <a:r>
              <a:rPr lang="en-US" sz="1000" b="1" i="0" baseline="0">
                <a:latin typeface="+mn-lt"/>
              </a:rPr>
              <a:t>Figure 11- Do you personally have/own any of the following to use or sell as you please?</a:t>
            </a:r>
            <a:br>
              <a:rPr lang="en-US" sz="1000" b="1" i="0" baseline="0">
                <a:latin typeface="+mn-lt"/>
              </a:rPr>
            </a:br>
            <a:r>
              <a:rPr lang="en-US" sz="1000" b="0" i="1" baseline="0">
                <a:latin typeface="+mn-lt"/>
              </a:rPr>
              <a:t>Percentage of currently or formerly married women currently working for pay responding "yes" by monthly earned income</a:t>
            </a:r>
            <a:endParaRPr lang="en-US" sz="1000" b="1" i="0" baseline="0">
              <a:latin typeface="+mn-lt"/>
            </a:endParaRPr>
          </a:p>
        </c:rich>
      </c:tx>
      <c:layout/>
      <c:spPr>
        <a:ln>
          <a:solidFill>
            <a:sysClr val="window" lastClr="FFFFFF">
              <a:lumMod val="65000"/>
            </a:sysClr>
          </a:solidFill>
        </a:ln>
      </c:spPr>
    </c:title>
    <c:plotArea>
      <c:layout/>
      <c:barChart>
        <c:barDir val="col"/>
        <c:grouping val="clustered"/>
        <c:ser>
          <c:idx val="0"/>
          <c:order val="0"/>
          <c:tx>
            <c:strRef>
              <c:f>Sheet1!$B$1</c:f>
              <c:strCache>
                <c:ptCount val="1"/>
                <c:pt idx="0">
                  <c:v>Financial savings </c:v>
                </c:pt>
              </c:strCache>
            </c:strRef>
          </c:tx>
          <c:spPr>
            <a:solidFill>
              <a:srgbClr val="C00000"/>
            </a:solidFill>
          </c:spPr>
          <c:dLbls>
            <c:numFmt formatCode="0\%" sourceLinked="0"/>
            <c:txPr>
              <a:bodyPr/>
              <a:lstStyle/>
              <a:p>
                <a:pPr>
                  <a:defRPr b="1">
                    <a:solidFill>
                      <a:schemeClr val="tx1"/>
                    </a:solidFill>
                  </a:defRPr>
                </a:pPr>
                <a:endParaRPr lang="en-US"/>
              </a:p>
            </c:txPr>
            <c:dLblPos val="outEnd"/>
            <c:showVal val="1"/>
          </c:dLbls>
          <c:cat>
            <c:strRef>
              <c:f>Sheet1!$A$2:$A$5</c:f>
              <c:strCache>
                <c:ptCount val="4"/>
                <c:pt idx="0">
                  <c:v>  &lt;= $300 (n=68)</c:v>
                </c:pt>
                <c:pt idx="1">
                  <c:v>   $301-500 (n=110)</c:v>
                </c:pt>
                <c:pt idx="2">
                  <c:v>   $501-900 (n=91)</c:v>
                </c:pt>
                <c:pt idx="3">
                  <c:v>$901 or more (n=51)</c:v>
                </c:pt>
              </c:strCache>
            </c:strRef>
          </c:cat>
          <c:val>
            <c:numRef>
              <c:f>Sheet1!$B$2:$B$5</c:f>
              <c:numCache>
                <c:formatCode>0</c:formatCode>
                <c:ptCount val="4"/>
                <c:pt idx="0">
                  <c:v>11.94</c:v>
                </c:pt>
                <c:pt idx="1">
                  <c:v>18.18</c:v>
                </c:pt>
                <c:pt idx="2">
                  <c:v>40.220000000000013</c:v>
                </c:pt>
                <c:pt idx="3">
                  <c:v>62.75</c:v>
                </c:pt>
              </c:numCache>
            </c:numRef>
          </c:val>
        </c:ser>
        <c:ser>
          <c:idx val="1"/>
          <c:order val="1"/>
          <c:tx>
            <c:strRef>
              <c:f>Sheet1!$C$1</c:f>
              <c:strCache>
                <c:ptCount val="1"/>
                <c:pt idx="0">
                  <c:v>Land or an apartment or house with the title in your name </c:v>
                </c:pt>
              </c:strCache>
            </c:strRef>
          </c:tx>
          <c:spPr>
            <a:solidFill>
              <a:srgbClr val="F57E1B"/>
            </a:solidFill>
          </c:spPr>
          <c:dLbls>
            <c:numFmt formatCode="0\%" sourceLinked="0"/>
            <c:txPr>
              <a:bodyPr/>
              <a:lstStyle/>
              <a:p>
                <a:pPr>
                  <a:defRPr b="1">
                    <a:solidFill>
                      <a:schemeClr val="tx1"/>
                    </a:solidFill>
                  </a:defRPr>
                </a:pPr>
                <a:endParaRPr lang="en-US"/>
              </a:p>
            </c:txPr>
            <c:dLblPos val="outEnd"/>
            <c:showVal val="1"/>
          </c:dLbls>
          <c:cat>
            <c:strRef>
              <c:f>Sheet1!$A$2:$A$5</c:f>
              <c:strCache>
                <c:ptCount val="4"/>
                <c:pt idx="0">
                  <c:v>  &lt;= $300 (n=68)</c:v>
                </c:pt>
                <c:pt idx="1">
                  <c:v>   $301-500 (n=110)</c:v>
                </c:pt>
                <c:pt idx="2">
                  <c:v>   $501-900 (n=91)</c:v>
                </c:pt>
                <c:pt idx="3">
                  <c:v>$901 or more (n=51)</c:v>
                </c:pt>
              </c:strCache>
            </c:strRef>
          </c:cat>
          <c:val>
            <c:numRef>
              <c:f>Sheet1!$C$2:$C$5</c:f>
              <c:numCache>
                <c:formatCode>0</c:formatCode>
                <c:ptCount val="4"/>
                <c:pt idx="0">
                  <c:v>11.76</c:v>
                </c:pt>
                <c:pt idx="1">
                  <c:v>17.27</c:v>
                </c:pt>
                <c:pt idx="2">
                  <c:v>41.3</c:v>
                </c:pt>
                <c:pt idx="3">
                  <c:v>47.06</c:v>
                </c:pt>
              </c:numCache>
            </c:numRef>
          </c:val>
        </c:ser>
        <c:ser>
          <c:idx val="2"/>
          <c:order val="2"/>
          <c:tx>
            <c:strRef>
              <c:f>Sheet1!$D$1</c:f>
              <c:strCache>
                <c:ptCount val="1"/>
                <c:pt idx="0">
                  <c:v>Other items of high value such as a car or jewelry</c:v>
                </c:pt>
              </c:strCache>
            </c:strRef>
          </c:tx>
          <c:spPr>
            <a:solidFill>
              <a:srgbClr val="002060"/>
            </a:solidFill>
          </c:spPr>
          <c:dLbls>
            <c:numFmt formatCode="0\%" sourceLinked="0"/>
            <c:txPr>
              <a:bodyPr/>
              <a:lstStyle/>
              <a:p>
                <a:pPr>
                  <a:defRPr b="1">
                    <a:solidFill>
                      <a:schemeClr val="tx1"/>
                    </a:solidFill>
                  </a:defRPr>
                </a:pPr>
                <a:endParaRPr lang="en-US"/>
              </a:p>
            </c:txPr>
            <c:dLblPos val="outEnd"/>
            <c:showVal val="1"/>
          </c:dLbls>
          <c:cat>
            <c:strRef>
              <c:f>Sheet1!$A$2:$A$5</c:f>
              <c:strCache>
                <c:ptCount val="4"/>
                <c:pt idx="0">
                  <c:v>  &lt;= $300 (n=68)</c:v>
                </c:pt>
                <c:pt idx="1">
                  <c:v>   $301-500 (n=110)</c:v>
                </c:pt>
                <c:pt idx="2">
                  <c:v>   $501-900 (n=91)</c:v>
                </c:pt>
                <c:pt idx="3">
                  <c:v>$901 or more (n=51)</c:v>
                </c:pt>
              </c:strCache>
            </c:strRef>
          </c:cat>
          <c:val>
            <c:numRef>
              <c:f>Sheet1!$D$2:$D$5</c:f>
              <c:numCache>
                <c:formatCode>0</c:formatCode>
                <c:ptCount val="4"/>
                <c:pt idx="0">
                  <c:v>20.59</c:v>
                </c:pt>
                <c:pt idx="1">
                  <c:v>33.64</c:v>
                </c:pt>
                <c:pt idx="2">
                  <c:v>58.7</c:v>
                </c:pt>
                <c:pt idx="3">
                  <c:v>72.55</c:v>
                </c:pt>
              </c:numCache>
            </c:numRef>
          </c:val>
        </c:ser>
        <c:gapWidth val="75"/>
        <c:overlap val="-25"/>
        <c:axId val="249645696"/>
        <c:axId val="249665024"/>
      </c:barChart>
      <c:catAx>
        <c:axId val="249645696"/>
        <c:scaling>
          <c:orientation val="minMax"/>
        </c:scaling>
        <c:axPos val="b"/>
        <c:majorTickMark val="none"/>
        <c:tickLblPos val="nextTo"/>
        <c:txPr>
          <a:bodyPr/>
          <a:lstStyle/>
          <a:p>
            <a:pPr>
              <a:defRPr b="1"/>
            </a:pPr>
            <a:endParaRPr lang="en-US"/>
          </a:p>
        </c:txPr>
        <c:crossAx val="249665024"/>
        <c:crosses val="autoZero"/>
        <c:auto val="1"/>
        <c:lblAlgn val="ctr"/>
        <c:lblOffset val="100"/>
      </c:catAx>
      <c:valAx>
        <c:axId val="249665024"/>
        <c:scaling>
          <c:orientation val="minMax"/>
        </c:scaling>
        <c:delete val="1"/>
        <c:axPos val="l"/>
        <c:numFmt formatCode="0" sourceLinked="1"/>
        <c:majorTickMark val="none"/>
        <c:tickLblPos val="none"/>
        <c:crossAx val="249645696"/>
        <c:crosses val="autoZero"/>
        <c:crossBetween val="between"/>
      </c:valAx>
    </c:plotArea>
    <c:legend>
      <c:legendPos val="b"/>
      <c:layout/>
      <c:spPr>
        <a:ln>
          <a:solidFill>
            <a:sysClr val="window" lastClr="FFFFFF">
              <a:lumMod val="65000"/>
            </a:sysClr>
          </a:solidFill>
        </a:ln>
      </c:spPr>
      <c:txPr>
        <a:bodyPr/>
        <a:lstStyle/>
        <a:p>
          <a:pPr>
            <a:defRPr b="1"/>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l">
              <a:defRPr/>
            </a:pPr>
            <a:r>
              <a:rPr lang="en-US" sz="1000" b="1" i="0" baseline="0">
                <a:latin typeface="+mn-lt"/>
              </a:rPr>
              <a:t>Figure 12- If you no longer were able to depend on your husband’s or family’s income, would you be able to support yourself/ family financially?  </a:t>
            </a:r>
            <a:br>
              <a:rPr lang="en-US" sz="1000" b="1" i="0" baseline="0">
                <a:latin typeface="+mn-lt"/>
              </a:rPr>
            </a:br>
            <a:r>
              <a:rPr lang="en-US" sz="1000" b="0" i="1" baseline="0">
                <a:latin typeface="+mn-lt"/>
              </a:rPr>
              <a:t>Percentage among currently or formerly married women by educational attainment</a:t>
            </a:r>
          </a:p>
        </c:rich>
      </c:tx>
      <c:layout/>
      <c:spPr>
        <a:ln>
          <a:solidFill>
            <a:sysClr val="window" lastClr="FFFFFF">
              <a:lumMod val="65000"/>
            </a:sysClr>
          </a:solidFill>
        </a:ln>
      </c:spPr>
    </c:title>
    <c:plotArea>
      <c:layout>
        <c:manualLayout>
          <c:layoutTarget val="inner"/>
          <c:xMode val="edge"/>
          <c:yMode val="edge"/>
          <c:x val="0.38443708315988212"/>
          <c:y val="0.32152793400824997"/>
          <c:w val="0.5593199472113225"/>
          <c:h val="0.53925415573053359"/>
        </c:manualLayout>
      </c:layout>
      <c:barChart>
        <c:barDir val="bar"/>
        <c:grouping val="percentStacked"/>
        <c:ser>
          <c:idx val="0"/>
          <c:order val="0"/>
          <c:tx>
            <c:strRef>
              <c:f>Sheet1!$B$1</c:f>
              <c:strCache>
                <c:ptCount val="1"/>
                <c:pt idx="0">
                  <c:v>Yes</c:v>
                </c:pt>
              </c:strCache>
            </c:strRef>
          </c:tx>
          <c:spPr>
            <a:solidFill>
              <a:srgbClr val="002060"/>
            </a:solidFill>
          </c:spPr>
          <c:dLbls>
            <c:numFmt formatCode="0\%" sourceLinked="0"/>
            <c:txPr>
              <a:bodyPr/>
              <a:lstStyle/>
              <a:p>
                <a:pPr>
                  <a:defRPr b="1">
                    <a:solidFill>
                      <a:schemeClr val="bg1"/>
                    </a:solidFill>
                  </a:defRPr>
                </a:pPr>
                <a:endParaRPr lang="en-US"/>
              </a:p>
            </c:txPr>
            <c:showVal val="1"/>
          </c:dLbls>
          <c:cat>
            <c:strRef>
              <c:f>Sheet1!$A$2:$A$6</c:f>
              <c:strCache>
                <c:ptCount val="5"/>
                <c:pt idx="0">
                  <c:v> &lt; Primary (n=161)</c:v>
                </c:pt>
                <c:pt idx="1">
                  <c:v>    Primary (n=335)</c:v>
                </c:pt>
                <c:pt idx="2">
                  <c:v>  Intermediate (n=349)</c:v>
                </c:pt>
                <c:pt idx="3">
                  <c:v>  Secondary (n=275)</c:v>
                </c:pt>
                <c:pt idx="4">
                  <c:v>  University or more (n=149)</c:v>
                </c:pt>
              </c:strCache>
            </c:strRef>
          </c:cat>
          <c:val>
            <c:numRef>
              <c:f>Sheet1!$B$2:$B$6</c:f>
              <c:numCache>
                <c:formatCode>0</c:formatCode>
                <c:ptCount val="5"/>
                <c:pt idx="0">
                  <c:v>31.06</c:v>
                </c:pt>
                <c:pt idx="1">
                  <c:v>34.630000000000003</c:v>
                </c:pt>
                <c:pt idx="2">
                  <c:v>40.690000000000012</c:v>
                </c:pt>
                <c:pt idx="3">
                  <c:v>53.09</c:v>
                </c:pt>
                <c:pt idx="4">
                  <c:v>65.099999999999994</c:v>
                </c:pt>
              </c:numCache>
            </c:numRef>
          </c:val>
        </c:ser>
        <c:ser>
          <c:idx val="1"/>
          <c:order val="1"/>
          <c:tx>
            <c:strRef>
              <c:f>Sheet1!$C$1</c:f>
              <c:strCache>
                <c:ptCount val="1"/>
                <c:pt idx="0">
                  <c:v>No</c:v>
                </c:pt>
              </c:strCache>
            </c:strRef>
          </c:tx>
          <c:spPr>
            <a:solidFill>
              <a:srgbClr val="0070C0"/>
            </a:solidFill>
          </c:spPr>
          <c:dLbls>
            <c:numFmt formatCode="0\%" sourceLinked="0"/>
            <c:txPr>
              <a:bodyPr/>
              <a:lstStyle/>
              <a:p>
                <a:pPr>
                  <a:defRPr b="1">
                    <a:solidFill>
                      <a:schemeClr val="bg1"/>
                    </a:solidFill>
                  </a:defRPr>
                </a:pPr>
                <a:endParaRPr lang="en-US"/>
              </a:p>
            </c:txPr>
            <c:showVal val="1"/>
          </c:dLbls>
          <c:cat>
            <c:strRef>
              <c:f>Sheet1!$A$2:$A$6</c:f>
              <c:strCache>
                <c:ptCount val="5"/>
                <c:pt idx="0">
                  <c:v> &lt; Primary (n=161)</c:v>
                </c:pt>
                <c:pt idx="1">
                  <c:v>    Primary (n=335)</c:v>
                </c:pt>
                <c:pt idx="2">
                  <c:v>  Intermediate (n=349)</c:v>
                </c:pt>
                <c:pt idx="3">
                  <c:v>  Secondary (n=275)</c:v>
                </c:pt>
                <c:pt idx="4">
                  <c:v>  University or more (n=149)</c:v>
                </c:pt>
              </c:strCache>
            </c:strRef>
          </c:cat>
          <c:val>
            <c:numRef>
              <c:f>Sheet1!$C$2:$C$6</c:f>
              <c:numCache>
                <c:formatCode>0</c:formatCode>
                <c:ptCount val="5"/>
                <c:pt idx="0">
                  <c:v>60.25</c:v>
                </c:pt>
                <c:pt idx="1">
                  <c:v>55.220000000000013</c:v>
                </c:pt>
                <c:pt idx="2">
                  <c:v>43.55</c:v>
                </c:pt>
                <c:pt idx="3">
                  <c:v>33.82</c:v>
                </c:pt>
                <c:pt idx="4">
                  <c:v>18.79</c:v>
                </c:pt>
              </c:numCache>
            </c:numRef>
          </c:val>
        </c:ser>
        <c:ser>
          <c:idx val="2"/>
          <c:order val="2"/>
          <c:tx>
            <c:strRef>
              <c:f>Sheet1!$D$1</c:f>
              <c:strCache>
                <c:ptCount val="1"/>
                <c:pt idx="0">
                  <c:v>Maybe</c:v>
                </c:pt>
              </c:strCache>
            </c:strRef>
          </c:tx>
          <c:spPr>
            <a:solidFill>
              <a:srgbClr val="F57E1B"/>
            </a:solidFill>
          </c:spPr>
          <c:dLbls>
            <c:numFmt formatCode="0\%" sourceLinked="0"/>
            <c:txPr>
              <a:bodyPr/>
              <a:lstStyle/>
              <a:p>
                <a:pPr>
                  <a:defRPr b="1">
                    <a:solidFill>
                      <a:schemeClr val="bg1"/>
                    </a:solidFill>
                  </a:defRPr>
                </a:pPr>
                <a:endParaRPr lang="en-US"/>
              </a:p>
            </c:txPr>
            <c:showVal val="1"/>
          </c:dLbls>
          <c:cat>
            <c:strRef>
              <c:f>Sheet1!$A$2:$A$6</c:f>
              <c:strCache>
                <c:ptCount val="5"/>
                <c:pt idx="0">
                  <c:v> &lt; Primary (n=161)</c:v>
                </c:pt>
                <c:pt idx="1">
                  <c:v>    Primary (n=335)</c:v>
                </c:pt>
                <c:pt idx="2">
                  <c:v>  Intermediate (n=349)</c:v>
                </c:pt>
                <c:pt idx="3">
                  <c:v>  Secondary (n=275)</c:v>
                </c:pt>
                <c:pt idx="4">
                  <c:v>  University or more (n=149)</c:v>
                </c:pt>
              </c:strCache>
            </c:strRef>
          </c:cat>
          <c:val>
            <c:numRef>
              <c:f>Sheet1!$D$2:$D$6</c:f>
              <c:numCache>
                <c:formatCode>0</c:formatCode>
                <c:ptCount val="5"/>
                <c:pt idx="0">
                  <c:v>4.3499999999999996</c:v>
                </c:pt>
                <c:pt idx="1">
                  <c:v>8.3600000000000048</c:v>
                </c:pt>
                <c:pt idx="2">
                  <c:v>13.18</c:v>
                </c:pt>
                <c:pt idx="3">
                  <c:v>12</c:v>
                </c:pt>
                <c:pt idx="4">
                  <c:v>10.739999999999998</c:v>
                </c:pt>
              </c:numCache>
            </c:numRef>
          </c:val>
        </c:ser>
        <c:ser>
          <c:idx val="3"/>
          <c:order val="3"/>
          <c:tx>
            <c:strRef>
              <c:f>Sheet1!$E$1</c:f>
              <c:strCache>
                <c:ptCount val="1"/>
                <c:pt idx="0">
                  <c:v>I’m already supporting myself/ family on my own</c:v>
                </c:pt>
              </c:strCache>
            </c:strRef>
          </c:tx>
          <c:spPr>
            <a:solidFill>
              <a:srgbClr val="C00000"/>
            </a:solidFill>
          </c:spPr>
          <c:dLbls>
            <c:dLbl>
              <c:idx val="0"/>
              <c:layout>
                <c:manualLayout>
                  <c:x val="3.0933633295837999E-2"/>
                  <c:y val="0"/>
                </c:manualLayout>
              </c:layout>
              <c:dLblPos val="ctr"/>
              <c:showVal val="1"/>
            </c:dLbl>
            <c:dLbl>
              <c:idx val="1"/>
              <c:layout>
                <c:manualLayout>
                  <c:x val="2.2497187851518611E-2"/>
                  <c:y val="0"/>
                </c:manualLayout>
              </c:layout>
              <c:dLblPos val="ctr"/>
              <c:showVal val="1"/>
            </c:dLbl>
            <c:dLbl>
              <c:idx val="2"/>
              <c:layout>
                <c:manualLayout>
                  <c:x val="2.8116742574126035E-2"/>
                  <c:y val="3.1208940737342581E-7"/>
                </c:manualLayout>
              </c:layout>
              <c:dLblPos val="ctr"/>
              <c:showVal val="1"/>
            </c:dLbl>
            <c:dLbl>
              <c:idx val="3"/>
              <c:layout>
                <c:manualLayout>
                  <c:x val="3.3490238256474292E-2"/>
                  <c:y val="0"/>
                </c:manualLayout>
              </c:layout>
              <c:dLblPos val="ctr"/>
              <c:showVal val="1"/>
            </c:dLbl>
            <c:dLbl>
              <c:idx val="4"/>
              <c:layout>
                <c:manualLayout>
                  <c:x val="4.4969083754918523E-2"/>
                  <c:y val="0"/>
                </c:manualLayout>
              </c:layout>
              <c:dLblPos val="ctr"/>
              <c:showVal val="1"/>
            </c:dLbl>
            <c:numFmt formatCode="0\%" sourceLinked="0"/>
            <c:txPr>
              <a:bodyPr/>
              <a:lstStyle/>
              <a:p>
                <a:pPr>
                  <a:defRPr b="1">
                    <a:solidFill>
                      <a:schemeClr val="tx1"/>
                    </a:solidFill>
                  </a:defRPr>
                </a:pPr>
                <a:endParaRPr lang="en-US"/>
              </a:p>
            </c:txPr>
            <c:dLblPos val="ctr"/>
            <c:showVal val="1"/>
          </c:dLbls>
          <c:cat>
            <c:strRef>
              <c:f>Sheet1!$A$2:$A$6</c:f>
              <c:strCache>
                <c:ptCount val="5"/>
                <c:pt idx="0">
                  <c:v> &lt; Primary (n=161)</c:v>
                </c:pt>
                <c:pt idx="1">
                  <c:v>    Primary (n=335)</c:v>
                </c:pt>
                <c:pt idx="2">
                  <c:v>  Intermediate (n=349)</c:v>
                </c:pt>
                <c:pt idx="3">
                  <c:v>  Secondary (n=275)</c:v>
                </c:pt>
                <c:pt idx="4">
                  <c:v>  University or more (n=149)</c:v>
                </c:pt>
              </c:strCache>
            </c:strRef>
          </c:cat>
          <c:val>
            <c:numRef>
              <c:f>Sheet1!$E$2:$E$6</c:f>
              <c:numCache>
                <c:formatCode>0</c:formatCode>
                <c:ptCount val="5"/>
                <c:pt idx="0">
                  <c:v>4.3499999999999996</c:v>
                </c:pt>
                <c:pt idx="1">
                  <c:v>1.79</c:v>
                </c:pt>
                <c:pt idx="2">
                  <c:v>2.58</c:v>
                </c:pt>
                <c:pt idx="3">
                  <c:v>1.0900000000000001</c:v>
                </c:pt>
                <c:pt idx="4">
                  <c:v>5.37</c:v>
                </c:pt>
              </c:numCache>
            </c:numRef>
          </c:val>
        </c:ser>
        <c:gapWidth val="75"/>
        <c:overlap val="100"/>
        <c:axId val="249783808"/>
        <c:axId val="249785344"/>
      </c:barChart>
      <c:catAx>
        <c:axId val="249783808"/>
        <c:scaling>
          <c:orientation val="maxMin"/>
        </c:scaling>
        <c:axPos val="l"/>
        <c:majorTickMark val="none"/>
        <c:tickLblPos val="nextTo"/>
        <c:txPr>
          <a:bodyPr/>
          <a:lstStyle/>
          <a:p>
            <a:pPr>
              <a:defRPr b="1"/>
            </a:pPr>
            <a:endParaRPr lang="en-US"/>
          </a:p>
        </c:txPr>
        <c:crossAx val="249785344"/>
        <c:crosses val="autoZero"/>
        <c:auto val="1"/>
        <c:lblAlgn val="ctr"/>
        <c:lblOffset val="100"/>
      </c:catAx>
      <c:valAx>
        <c:axId val="249785344"/>
        <c:scaling>
          <c:orientation val="minMax"/>
        </c:scaling>
        <c:delete val="1"/>
        <c:axPos val="t"/>
        <c:numFmt formatCode="0%" sourceLinked="1"/>
        <c:majorTickMark val="none"/>
        <c:tickLblPos val="none"/>
        <c:crossAx val="249783808"/>
        <c:crosses val="autoZero"/>
        <c:crossBetween val="between"/>
      </c:valAx>
    </c:plotArea>
    <c:legend>
      <c:legendPos val="b"/>
      <c:layout/>
      <c:spPr>
        <a:ln>
          <a:solidFill>
            <a:sysClr val="window" lastClr="FFFFFF">
              <a:lumMod val="65000"/>
            </a:sysClr>
          </a:solidFill>
        </a:ln>
      </c:spPr>
      <c:txPr>
        <a:bodyPr/>
        <a:lstStyle/>
        <a:p>
          <a:pPr>
            <a:defRPr b="1"/>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l">
              <a:defRPr/>
            </a:pPr>
            <a:r>
              <a:rPr lang="en-US" sz="1000" b="1" i="0" baseline="0">
                <a:latin typeface="+mn-lt"/>
              </a:rPr>
              <a:t>Figure 3- When you earn money, what do you do with it? </a:t>
            </a:r>
            <a:br>
              <a:rPr lang="en-US" sz="1000" b="1" i="0" baseline="0">
                <a:latin typeface="+mn-lt"/>
              </a:rPr>
            </a:br>
            <a:r>
              <a:rPr lang="en-US" sz="1000" b="0" i="1" baseline="0">
                <a:latin typeface="+mn-lt"/>
              </a:rPr>
              <a:t>Percentage of working women by monthly earned income</a:t>
            </a:r>
          </a:p>
        </c:rich>
      </c:tx>
      <c:layout/>
      <c:spPr>
        <a:ln>
          <a:solidFill>
            <a:sysClr val="window" lastClr="FFFFFF">
              <a:lumMod val="65000"/>
            </a:sysClr>
          </a:solidFill>
        </a:ln>
      </c:spPr>
    </c:title>
    <c:plotArea>
      <c:layout/>
      <c:barChart>
        <c:barDir val="bar"/>
        <c:grouping val="clustered"/>
        <c:ser>
          <c:idx val="0"/>
          <c:order val="0"/>
          <c:tx>
            <c:strRef>
              <c:f>Sheet1!$B$1</c:f>
              <c:strCache>
                <c:ptCount val="1"/>
                <c:pt idx="0">
                  <c:v>Keep it for personal use</c:v>
                </c:pt>
              </c:strCache>
            </c:strRef>
          </c:tx>
          <c:spPr>
            <a:solidFill>
              <a:srgbClr val="C00000"/>
            </a:solidFill>
          </c:spPr>
          <c:dLbls>
            <c:numFmt formatCode="0\%" sourceLinked="0"/>
            <c:txPr>
              <a:bodyPr/>
              <a:lstStyle/>
              <a:p>
                <a:pPr>
                  <a:defRPr b="1">
                    <a:solidFill>
                      <a:schemeClr val="tx1"/>
                    </a:solidFill>
                  </a:defRPr>
                </a:pPr>
                <a:endParaRPr lang="en-US"/>
              </a:p>
            </c:txPr>
            <c:dLblPos val="outEnd"/>
            <c:showVal val="1"/>
          </c:dLbls>
          <c:cat>
            <c:strRef>
              <c:f>Sheet1!$A$2:$A$5</c:f>
              <c:strCache>
                <c:ptCount val="4"/>
                <c:pt idx="0">
                  <c:v>   &lt;= $300 (n=195)</c:v>
                </c:pt>
                <c:pt idx="1">
                  <c:v>   $301-500 (n=122)</c:v>
                </c:pt>
                <c:pt idx="2">
                  <c:v>   $501-900 (n=173)</c:v>
                </c:pt>
                <c:pt idx="3">
                  <c:v>$901 or more (n=88)</c:v>
                </c:pt>
              </c:strCache>
            </c:strRef>
          </c:cat>
          <c:val>
            <c:numRef>
              <c:f>Sheet1!$B$2:$B$5</c:f>
              <c:numCache>
                <c:formatCode>0</c:formatCode>
                <c:ptCount val="4"/>
                <c:pt idx="0">
                  <c:v>48.720000000000013</c:v>
                </c:pt>
                <c:pt idx="1">
                  <c:v>39.92</c:v>
                </c:pt>
                <c:pt idx="2">
                  <c:v>38.15</c:v>
                </c:pt>
                <c:pt idx="3">
                  <c:v>32.950000000000003</c:v>
                </c:pt>
              </c:numCache>
            </c:numRef>
          </c:val>
        </c:ser>
        <c:ser>
          <c:idx val="1"/>
          <c:order val="1"/>
          <c:tx>
            <c:strRef>
              <c:f>Sheet1!$C$1</c:f>
              <c:strCache>
                <c:ptCount val="1"/>
                <c:pt idx="0">
                  <c:v>Put it in a bank account to save</c:v>
                </c:pt>
              </c:strCache>
            </c:strRef>
          </c:tx>
          <c:spPr>
            <a:solidFill>
              <a:srgbClr val="F57E1B"/>
            </a:solidFill>
          </c:spPr>
          <c:dLbls>
            <c:numFmt formatCode="0\%" sourceLinked="0"/>
            <c:txPr>
              <a:bodyPr/>
              <a:lstStyle/>
              <a:p>
                <a:pPr>
                  <a:defRPr b="1">
                    <a:solidFill>
                      <a:schemeClr val="tx1"/>
                    </a:solidFill>
                  </a:defRPr>
                </a:pPr>
                <a:endParaRPr lang="en-US"/>
              </a:p>
            </c:txPr>
            <c:dLblPos val="outEnd"/>
            <c:showVal val="1"/>
          </c:dLbls>
          <c:cat>
            <c:strRef>
              <c:f>Sheet1!$A$2:$A$5</c:f>
              <c:strCache>
                <c:ptCount val="4"/>
                <c:pt idx="0">
                  <c:v>   &lt;= $300 (n=195)</c:v>
                </c:pt>
                <c:pt idx="1">
                  <c:v>   $301-500 (n=122)</c:v>
                </c:pt>
                <c:pt idx="2">
                  <c:v>   $501-900 (n=173)</c:v>
                </c:pt>
                <c:pt idx="3">
                  <c:v>$901 or more (n=88)</c:v>
                </c:pt>
              </c:strCache>
            </c:strRef>
          </c:cat>
          <c:val>
            <c:numRef>
              <c:f>Sheet1!$C$2:$C$5</c:f>
              <c:numCache>
                <c:formatCode>0</c:formatCode>
                <c:ptCount val="4"/>
                <c:pt idx="0">
                  <c:v>2.06</c:v>
                </c:pt>
                <c:pt idx="1">
                  <c:v>2.82</c:v>
                </c:pt>
                <c:pt idx="2">
                  <c:v>6.3599999999999985</c:v>
                </c:pt>
                <c:pt idx="3">
                  <c:v>11.360000000000021</c:v>
                </c:pt>
              </c:numCache>
            </c:numRef>
          </c:val>
        </c:ser>
        <c:ser>
          <c:idx val="2"/>
          <c:order val="2"/>
          <c:tx>
            <c:strRef>
              <c:f>Sheet1!$D$1</c:f>
              <c:strCache>
                <c:ptCount val="1"/>
                <c:pt idx="0">
                  <c:v>Give all of it to my spouse/parent to manage</c:v>
                </c:pt>
              </c:strCache>
            </c:strRef>
          </c:tx>
          <c:spPr>
            <a:solidFill>
              <a:srgbClr val="0070C0"/>
            </a:solidFill>
          </c:spPr>
          <c:dLbls>
            <c:numFmt formatCode="0\%" sourceLinked="0"/>
            <c:txPr>
              <a:bodyPr/>
              <a:lstStyle/>
              <a:p>
                <a:pPr>
                  <a:defRPr b="1">
                    <a:solidFill>
                      <a:schemeClr val="tx1"/>
                    </a:solidFill>
                  </a:defRPr>
                </a:pPr>
                <a:endParaRPr lang="en-US"/>
              </a:p>
            </c:txPr>
            <c:dLblPos val="outEnd"/>
            <c:showVal val="1"/>
          </c:dLbls>
          <c:cat>
            <c:strRef>
              <c:f>Sheet1!$A$2:$A$5</c:f>
              <c:strCache>
                <c:ptCount val="4"/>
                <c:pt idx="0">
                  <c:v>   &lt;= $300 (n=195)</c:v>
                </c:pt>
                <c:pt idx="1">
                  <c:v>   $301-500 (n=122)</c:v>
                </c:pt>
                <c:pt idx="2">
                  <c:v>   $501-900 (n=173)</c:v>
                </c:pt>
                <c:pt idx="3">
                  <c:v>$901 or more (n=88)</c:v>
                </c:pt>
              </c:strCache>
            </c:strRef>
          </c:cat>
          <c:val>
            <c:numRef>
              <c:f>Sheet1!$D$2:$D$5</c:f>
              <c:numCache>
                <c:formatCode>0</c:formatCode>
                <c:ptCount val="4"/>
                <c:pt idx="0">
                  <c:v>8.2100000000000009</c:v>
                </c:pt>
                <c:pt idx="1">
                  <c:v>8.06</c:v>
                </c:pt>
                <c:pt idx="2">
                  <c:v>7.51</c:v>
                </c:pt>
                <c:pt idx="3">
                  <c:v>2.27</c:v>
                </c:pt>
              </c:numCache>
            </c:numRef>
          </c:val>
        </c:ser>
        <c:ser>
          <c:idx val="3"/>
          <c:order val="3"/>
          <c:tx>
            <c:strRef>
              <c:f>Sheet1!$E$1</c:f>
              <c:strCache>
                <c:ptCount val="1"/>
                <c:pt idx="0">
                  <c:v>Spend it on family/children</c:v>
                </c:pt>
              </c:strCache>
            </c:strRef>
          </c:tx>
          <c:spPr>
            <a:solidFill>
              <a:srgbClr val="002060"/>
            </a:solidFill>
          </c:spPr>
          <c:dLbls>
            <c:numFmt formatCode="0\%" sourceLinked="0"/>
            <c:txPr>
              <a:bodyPr/>
              <a:lstStyle/>
              <a:p>
                <a:pPr>
                  <a:defRPr b="1">
                    <a:solidFill>
                      <a:schemeClr val="tx1"/>
                    </a:solidFill>
                  </a:defRPr>
                </a:pPr>
                <a:endParaRPr lang="en-US"/>
              </a:p>
            </c:txPr>
            <c:dLblPos val="outEnd"/>
            <c:showVal val="1"/>
          </c:dLbls>
          <c:cat>
            <c:strRef>
              <c:f>Sheet1!$A$2:$A$5</c:f>
              <c:strCache>
                <c:ptCount val="4"/>
                <c:pt idx="0">
                  <c:v>   &lt;= $300 (n=195)</c:v>
                </c:pt>
                <c:pt idx="1">
                  <c:v>   $301-500 (n=122)</c:v>
                </c:pt>
                <c:pt idx="2">
                  <c:v>   $501-900 (n=173)</c:v>
                </c:pt>
                <c:pt idx="3">
                  <c:v>$901 or more (n=88)</c:v>
                </c:pt>
              </c:strCache>
            </c:strRef>
          </c:cat>
          <c:val>
            <c:numRef>
              <c:f>Sheet1!$E$2:$E$5</c:f>
              <c:numCache>
                <c:formatCode>0</c:formatCode>
                <c:ptCount val="4"/>
                <c:pt idx="0">
                  <c:v>41.03</c:v>
                </c:pt>
                <c:pt idx="1">
                  <c:v>49.190000000000012</c:v>
                </c:pt>
                <c:pt idx="2">
                  <c:v>47.98</c:v>
                </c:pt>
                <c:pt idx="3">
                  <c:v>53.41</c:v>
                </c:pt>
              </c:numCache>
            </c:numRef>
          </c:val>
        </c:ser>
        <c:gapWidth val="31"/>
        <c:overlap val="-25"/>
        <c:axId val="193768832"/>
        <c:axId val="193778816"/>
      </c:barChart>
      <c:catAx>
        <c:axId val="193768832"/>
        <c:scaling>
          <c:orientation val="maxMin"/>
        </c:scaling>
        <c:axPos val="l"/>
        <c:majorTickMark val="none"/>
        <c:tickLblPos val="nextTo"/>
        <c:txPr>
          <a:bodyPr/>
          <a:lstStyle/>
          <a:p>
            <a:pPr>
              <a:defRPr b="1"/>
            </a:pPr>
            <a:endParaRPr lang="en-US"/>
          </a:p>
        </c:txPr>
        <c:crossAx val="193778816"/>
        <c:crosses val="autoZero"/>
        <c:auto val="1"/>
        <c:lblAlgn val="ctr"/>
        <c:lblOffset val="100"/>
      </c:catAx>
      <c:valAx>
        <c:axId val="193778816"/>
        <c:scaling>
          <c:orientation val="minMax"/>
        </c:scaling>
        <c:delete val="1"/>
        <c:axPos val="t"/>
        <c:numFmt formatCode="0" sourceLinked="1"/>
        <c:majorTickMark val="none"/>
        <c:tickLblPos val="none"/>
        <c:crossAx val="193768832"/>
        <c:crosses val="autoZero"/>
        <c:crossBetween val="between"/>
      </c:valAx>
    </c:plotArea>
    <c:legend>
      <c:legendPos val="b"/>
      <c:layout>
        <c:manualLayout>
          <c:xMode val="edge"/>
          <c:yMode val="edge"/>
          <c:x val="7.6432186183356482E-2"/>
          <c:y val="0.77285542189709777"/>
          <c:w val="0.86865918019395261"/>
          <c:h val="0.20940621890113001"/>
        </c:manualLayout>
      </c:layout>
      <c:spPr>
        <a:ln>
          <a:solidFill>
            <a:sysClr val="window" lastClr="FFFFFF">
              <a:lumMod val="65000"/>
            </a:sysClr>
          </a:solidFill>
        </a:ln>
      </c:spPr>
      <c:txPr>
        <a:bodyPr/>
        <a:lstStyle/>
        <a:p>
          <a:pPr>
            <a:defRPr b="1"/>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l">
              <a:defRPr/>
            </a:pPr>
            <a:r>
              <a:rPr lang="en-US" sz="1000" b="1" i="0" baseline="0">
                <a:latin typeface="+mn-lt"/>
              </a:rPr>
              <a:t>Figure 2- When you earn money, what do you do with it?</a:t>
            </a:r>
            <a:r>
              <a:rPr lang="en-US" sz="1000" b="0" i="0" baseline="0">
                <a:latin typeface="+mn-lt"/>
              </a:rPr>
              <a:t/>
            </a:r>
            <a:br>
              <a:rPr lang="en-US" sz="1000" b="0" i="0" baseline="0">
                <a:latin typeface="+mn-lt"/>
              </a:rPr>
            </a:br>
            <a:r>
              <a:rPr lang="en-US" sz="1000" b="0" i="0" baseline="0">
                <a:latin typeface="+mn-lt"/>
              </a:rPr>
              <a:t>Percentage </a:t>
            </a:r>
            <a:r>
              <a:rPr lang="en-US" sz="1000" b="0" i="1" baseline="0">
                <a:latin typeface="+mn-lt"/>
              </a:rPr>
              <a:t>of working women by educational attainment</a:t>
            </a:r>
            <a:r>
              <a:rPr lang="en-US" sz="1000" b="1" i="1" baseline="0">
                <a:latin typeface="+mn-lt"/>
              </a:rPr>
              <a:t> </a:t>
            </a:r>
          </a:p>
        </c:rich>
      </c:tx>
      <c:layout/>
      <c:spPr>
        <a:ln>
          <a:solidFill>
            <a:sysClr val="window" lastClr="FFFFFF">
              <a:lumMod val="65000"/>
            </a:sysClr>
          </a:solidFill>
        </a:ln>
      </c:spPr>
    </c:title>
    <c:plotArea>
      <c:layout/>
      <c:barChart>
        <c:barDir val="bar"/>
        <c:grouping val="clustered"/>
        <c:ser>
          <c:idx val="0"/>
          <c:order val="0"/>
          <c:tx>
            <c:strRef>
              <c:f>Sheet1!$B$1</c:f>
              <c:strCache>
                <c:ptCount val="1"/>
                <c:pt idx="0">
                  <c:v>Keep it for personal use</c:v>
                </c:pt>
              </c:strCache>
            </c:strRef>
          </c:tx>
          <c:spPr>
            <a:solidFill>
              <a:srgbClr val="C00000"/>
            </a:solidFill>
          </c:spPr>
          <c:dLbls>
            <c:numFmt formatCode="0\%" sourceLinked="0"/>
            <c:txPr>
              <a:bodyPr/>
              <a:lstStyle/>
              <a:p>
                <a:pPr>
                  <a:defRPr b="1">
                    <a:solidFill>
                      <a:schemeClr val="tx1"/>
                    </a:solidFill>
                  </a:defRPr>
                </a:pPr>
                <a:endParaRPr lang="en-US"/>
              </a:p>
            </c:txPr>
            <c:dLblPos val="outEnd"/>
            <c:showVal val="1"/>
          </c:dLbls>
          <c:cat>
            <c:strRef>
              <c:f>Sheet1!$A$2:$A$6</c:f>
              <c:strCache>
                <c:ptCount val="5"/>
                <c:pt idx="0">
                  <c:v> &lt; Primary (n=31)</c:v>
                </c:pt>
                <c:pt idx="1">
                  <c:v>    Primary (n=127)</c:v>
                </c:pt>
                <c:pt idx="2">
                  <c:v>  Intermediate (n=182)</c:v>
                </c:pt>
                <c:pt idx="3">
                  <c:v>  Secondary (n=252)</c:v>
                </c:pt>
                <c:pt idx="4">
                  <c:v>  University or more (n=202)</c:v>
                </c:pt>
              </c:strCache>
            </c:strRef>
          </c:cat>
          <c:val>
            <c:numRef>
              <c:f>Sheet1!$B$2:$B$6</c:f>
              <c:numCache>
                <c:formatCode>0</c:formatCode>
                <c:ptCount val="5"/>
                <c:pt idx="0">
                  <c:v>16.130000000000031</c:v>
                </c:pt>
                <c:pt idx="1">
                  <c:v>37.01</c:v>
                </c:pt>
                <c:pt idx="2">
                  <c:v>36.260000000000012</c:v>
                </c:pt>
                <c:pt idx="3">
                  <c:v>43.25</c:v>
                </c:pt>
                <c:pt idx="4">
                  <c:v>44.55</c:v>
                </c:pt>
              </c:numCache>
            </c:numRef>
          </c:val>
        </c:ser>
        <c:ser>
          <c:idx val="1"/>
          <c:order val="1"/>
          <c:tx>
            <c:strRef>
              <c:f>Sheet1!$C$1</c:f>
              <c:strCache>
                <c:ptCount val="1"/>
                <c:pt idx="0">
                  <c:v>Put it in a bank account to save</c:v>
                </c:pt>
              </c:strCache>
            </c:strRef>
          </c:tx>
          <c:spPr>
            <a:solidFill>
              <a:srgbClr val="F57E1B"/>
            </a:solidFill>
          </c:spPr>
          <c:dLbls>
            <c:numFmt formatCode="0\%" sourceLinked="0"/>
            <c:txPr>
              <a:bodyPr/>
              <a:lstStyle/>
              <a:p>
                <a:pPr>
                  <a:defRPr b="1">
                    <a:solidFill>
                      <a:schemeClr val="tx1"/>
                    </a:solidFill>
                  </a:defRPr>
                </a:pPr>
                <a:endParaRPr lang="en-US"/>
              </a:p>
            </c:txPr>
            <c:dLblPos val="outEnd"/>
            <c:showVal val="1"/>
          </c:dLbls>
          <c:cat>
            <c:strRef>
              <c:f>Sheet1!$A$2:$A$6</c:f>
              <c:strCache>
                <c:ptCount val="5"/>
                <c:pt idx="0">
                  <c:v> &lt; Primary (n=31)</c:v>
                </c:pt>
                <c:pt idx="1">
                  <c:v>    Primary (n=127)</c:v>
                </c:pt>
                <c:pt idx="2">
                  <c:v>  Intermediate (n=182)</c:v>
                </c:pt>
                <c:pt idx="3">
                  <c:v>  Secondary (n=252)</c:v>
                </c:pt>
                <c:pt idx="4">
                  <c:v>  University or more (n=202)</c:v>
                </c:pt>
              </c:strCache>
            </c:strRef>
          </c:cat>
          <c:val>
            <c:numRef>
              <c:f>Sheet1!$C$2:$C$6</c:f>
              <c:numCache>
                <c:formatCode>0</c:formatCode>
                <c:ptCount val="5"/>
                <c:pt idx="0">
                  <c:v>0</c:v>
                </c:pt>
                <c:pt idx="1">
                  <c:v>1.58</c:v>
                </c:pt>
                <c:pt idx="2">
                  <c:v>1.6500000000000001</c:v>
                </c:pt>
                <c:pt idx="3">
                  <c:v>4.7700000000000014</c:v>
                </c:pt>
                <c:pt idx="4">
                  <c:v>7.92</c:v>
                </c:pt>
              </c:numCache>
            </c:numRef>
          </c:val>
        </c:ser>
        <c:ser>
          <c:idx val="2"/>
          <c:order val="2"/>
          <c:tx>
            <c:strRef>
              <c:f>Sheet1!$D$1</c:f>
              <c:strCache>
                <c:ptCount val="1"/>
                <c:pt idx="0">
                  <c:v>Give all of it to my spouse/parent to manage</c:v>
                </c:pt>
              </c:strCache>
            </c:strRef>
          </c:tx>
          <c:spPr>
            <a:solidFill>
              <a:srgbClr val="0070C0"/>
            </a:solidFill>
          </c:spPr>
          <c:dLbls>
            <c:numFmt formatCode="0\%" sourceLinked="0"/>
            <c:txPr>
              <a:bodyPr/>
              <a:lstStyle/>
              <a:p>
                <a:pPr>
                  <a:defRPr b="1">
                    <a:solidFill>
                      <a:schemeClr val="tx1"/>
                    </a:solidFill>
                  </a:defRPr>
                </a:pPr>
                <a:endParaRPr lang="en-US"/>
              </a:p>
            </c:txPr>
            <c:dLblPos val="outEnd"/>
            <c:showVal val="1"/>
          </c:dLbls>
          <c:cat>
            <c:strRef>
              <c:f>Sheet1!$A$2:$A$6</c:f>
              <c:strCache>
                <c:ptCount val="5"/>
                <c:pt idx="0">
                  <c:v> &lt; Primary (n=31)</c:v>
                </c:pt>
                <c:pt idx="1">
                  <c:v>    Primary (n=127)</c:v>
                </c:pt>
                <c:pt idx="2">
                  <c:v>  Intermediate (n=182)</c:v>
                </c:pt>
                <c:pt idx="3">
                  <c:v>  Secondary (n=252)</c:v>
                </c:pt>
                <c:pt idx="4">
                  <c:v>  University or more (n=202)</c:v>
                </c:pt>
              </c:strCache>
            </c:strRef>
          </c:cat>
          <c:val>
            <c:numRef>
              <c:f>Sheet1!$D$2:$D$6</c:f>
              <c:numCache>
                <c:formatCode>0</c:formatCode>
                <c:ptCount val="5"/>
                <c:pt idx="0">
                  <c:v>9.68</c:v>
                </c:pt>
                <c:pt idx="1">
                  <c:v>7.09</c:v>
                </c:pt>
                <c:pt idx="2">
                  <c:v>7.6899999999999995</c:v>
                </c:pt>
                <c:pt idx="3">
                  <c:v>7.14</c:v>
                </c:pt>
                <c:pt idx="4">
                  <c:v>5.45</c:v>
                </c:pt>
              </c:numCache>
            </c:numRef>
          </c:val>
        </c:ser>
        <c:ser>
          <c:idx val="3"/>
          <c:order val="3"/>
          <c:tx>
            <c:strRef>
              <c:f>Sheet1!$E$1</c:f>
              <c:strCache>
                <c:ptCount val="1"/>
                <c:pt idx="0">
                  <c:v>Spend it on family/children</c:v>
                </c:pt>
              </c:strCache>
            </c:strRef>
          </c:tx>
          <c:spPr>
            <a:solidFill>
              <a:srgbClr val="002060"/>
            </a:solidFill>
          </c:spPr>
          <c:dLbls>
            <c:numFmt formatCode="0\%" sourceLinked="0"/>
            <c:txPr>
              <a:bodyPr/>
              <a:lstStyle/>
              <a:p>
                <a:pPr>
                  <a:defRPr b="1">
                    <a:solidFill>
                      <a:schemeClr val="tx1"/>
                    </a:solidFill>
                  </a:defRPr>
                </a:pPr>
                <a:endParaRPr lang="en-US"/>
              </a:p>
            </c:txPr>
            <c:dLblPos val="outEnd"/>
            <c:showVal val="1"/>
          </c:dLbls>
          <c:cat>
            <c:strRef>
              <c:f>Sheet1!$A$2:$A$6</c:f>
              <c:strCache>
                <c:ptCount val="5"/>
                <c:pt idx="0">
                  <c:v> &lt; Primary (n=31)</c:v>
                </c:pt>
                <c:pt idx="1">
                  <c:v>    Primary (n=127)</c:v>
                </c:pt>
                <c:pt idx="2">
                  <c:v>  Intermediate (n=182)</c:v>
                </c:pt>
                <c:pt idx="3">
                  <c:v>  Secondary (n=252)</c:v>
                </c:pt>
                <c:pt idx="4">
                  <c:v>  University or more (n=202)</c:v>
                </c:pt>
              </c:strCache>
            </c:strRef>
          </c:cat>
          <c:val>
            <c:numRef>
              <c:f>Sheet1!$E$2:$E$6</c:f>
              <c:numCache>
                <c:formatCode>0</c:formatCode>
                <c:ptCount val="5"/>
                <c:pt idx="0">
                  <c:v>74.19</c:v>
                </c:pt>
                <c:pt idx="1">
                  <c:v>54.33</c:v>
                </c:pt>
                <c:pt idx="2">
                  <c:v>54.4</c:v>
                </c:pt>
                <c:pt idx="3">
                  <c:v>44.84</c:v>
                </c:pt>
                <c:pt idx="4">
                  <c:v>42.08</c:v>
                </c:pt>
              </c:numCache>
            </c:numRef>
          </c:val>
        </c:ser>
        <c:gapWidth val="31"/>
        <c:overlap val="-25"/>
        <c:axId val="216423424"/>
        <c:axId val="216463232"/>
      </c:barChart>
      <c:catAx>
        <c:axId val="216423424"/>
        <c:scaling>
          <c:orientation val="maxMin"/>
        </c:scaling>
        <c:axPos val="l"/>
        <c:majorTickMark val="none"/>
        <c:tickLblPos val="nextTo"/>
        <c:txPr>
          <a:bodyPr/>
          <a:lstStyle/>
          <a:p>
            <a:pPr>
              <a:defRPr b="1"/>
            </a:pPr>
            <a:endParaRPr lang="en-US"/>
          </a:p>
        </c:txPr>
        <c:crossAx val="216463232"/>
        <c:crosses val="autoZero"/>
        <c:auto val="1"/>
        <c:lblAlgn val="ctr"/>
        <c:lblOffset val="100"/>
      </c:catAx>
      <c:valAx>
        <c:axId val="216463232"/>
        <c:scaling>
          <c:orientation val="minMax"/>
        </c:scaling>
        <c:delete val="1"/>
        <c:axPos val="t"/>
        <c:numFmt formatCode="0" sourceLinked="1"/>
        <c:majorTickMark val="none"/>
        <c:tickLblPos val="none"/>
        <c:crossAx val="216423424"/>
        <c:crosses val="autoZero"/>
        <c:crossBetween val="between"/>
      </c:valAx>
    </c:plotArea>
    <c:legend>
      <c:legendPos val="b"/>
      <c:layout>
        <c:manualLayout>
          <c:xMode val="edge"/>
          <c:yMode val="edge"/>
          <c:x val="0.14952889125724841"/>
          <c:y val="0.77285542189709788"/>
          <c:w val="0.7365610954908467"/>
          <c:h val="0.20940621890113001"/>
        </c:manualLayout>
      </c:layout>
      <c:spPr>
        <a:ln>
          <a:solidFill>
            <a:sysClr val="window" lastClr="FFFFFF">
              <a:lumMod val="65000"/>
            </a:sysClr>
          </a:solidFill>
        </a:ln>
      </c:spPr>
      <c:txPr>
        <a:bodyPr/>
        <a:lstStyle/>
        <a:p>
          <a:pPr>
            <a:defRPr b="1"/>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l">
              <a:defRPr/>
            </a:pPr>
            <a:r>
              <a:rPr lang="en-US" sz="1000" b="1" i="0" baseline="0">
                <a:latin typeface="+mn-lt"/>
              </a:rPr>
              <a:t>Figure 4- To what extent do you consider yourself free in deciding how your earnings are used?</a:t>
            </a:r>
            <a:endParaRPr lang="en-US" sz="1000">
              <a:latin typeface="+mn-lt"/>
            </a:endParaRPr>
          </a:p>
          <a:p>
            <a:pPr algn="l">
              <a:defRPr/>
            </a:pPr>
            <a:r>
              <a:rPr lang="en-US" sz="1000" b="0" i="1" baseline="0">
                <a:latin typeface="+mn-lt"/>
              </a:rPr>
              <a:t>Percentage of women and men by level of control</a:t>
            </a:r>
          </a:p>
        </c:rich>
      </c:tx>
      <c:layout>
        <c:manualLayout>
          <c:xMode val="edge"/>
          <c:yMode val="edge"/>
          <c:x val="0.12127601987325703"/>
          <c:y val="3.0096871489905325E-2"/>
        </c:manualLayout>
      </c:layout>
      <c:spPr>
        <a:ln>
          <a:solidFill>
            <a:sysClr val="window" lastClr="FFFFFF">
              <a:lumMod val="65000"/>
            </a:sysClr>
          </a:solidFill>
        </a:ln>
      </c:spPr>
    </c:title>
    <c:plotArea>
      <c:layout>
        <c:manualLayout>
          <c:layoutTarget val="inner"/>
          <c:xMode val="edge"/>
          <c:yMode val="edge"/>
          <c:x val="8.1648522550544347E-2"/>
          <c:y val="0.37167449252329698"/>
          <c:w val="0.91446345256609662"/>
          <c:h val="0.312872570974502"/>
        </c:manualLayout>
      </c:layout>
      <c:barChart>
        <c:barDir val="col"/>
        <c:grouping val="clustered"/>
        <c:ser>
          <c:idx val="0"/>
          <c:order val="0"/>
          <c:tx>
            <c:strRef>
              <c:f>Sheet1!$B$1</c:f>
              <c:strCache>
                <c:ptCount val="1"/>
                <c:pt idx="0">
                  <c:v>Women (n=789)</c:v>
                </c:pt>
              </c:strCache>
            </c:strRef>
          </c:tx>
          <c:spPr>
            <a:solidFill>
              <a:srgbClr val="002060"/>
            </a:solidFill>
          </c:spPr>
          <c:dLbls>
            <c:dLbl>
              <c:idx val="0"/>
              <c:layout>
                <c:manualLayout>
                  <c:x val="0"/>
                  <c:y val="0.10137581462708183"/>
                </c:manualLayout>
              </c:layout>
              <c:numFmt formatCode="0\%" sourceLinked="0"/>
              <c:spPr/>
              <c:txPr>
                <a:bodyPr/>
                <a:lstStyle/>
                <a:p>
                  <a:pPr>
                    <a:defRPr b="1">
                      <a:solidFill>
                        <a:schemeClr val="bg1"/>
                      </a:solidFill>
                    </a:defRPr>
                  </a:pPr>
                  <a:endParaRPr lang="en-US"/>
                </a:p>
              </c:txPr>
              <c:showVal val="1"/>
            </c:dLbl>
            <c:numFmt formatCode="0\%" sourceLinked="0"/>
            <c:txPr>
              <a:bodyPr/>
              <a:lstStyle/>
              <a:p>
                <a:pPr>
                  <a:defRPr b="1"/>
                </a:pPr>
                <a:endParaRPr lang="en-US"/>
              </a:p>
            </c:txPr>
            <c:showVal val="1"/>
          </c:dLbls>
          <c:cat>
            <c:strRef>
              <c:f>Sheet1!$A$2:$A$5</c:f>
              <c:strCache>
                <c:ptCount val="4"/>
                <c:pt idx="0">
                  <c:v>Completely free</c:v>
                </c:pt>
                <c:pt idx="1">
                  <c:v>Somewhat free</c:v>
                </c:pt>
                <c:pt idx="2">
                  <c:v>Somewhat restricted</c:v>
                </c:pt>
                <c:pt idx="3">
                  <c:v>Completely restricted</c:v>
                </c:pt>
              </c:strCache>
            </c:strRef>
          </c:cat>
          <c:val>
            <c:numRef>
              <c:f>Sheet1!$B$2:$B$5</c:f>
              <c:numCache>
                <c:formatCode>0</c:formatCode>
                <c:ptCount val="4"/>
                <c:pt idx="0">
                  <c:v>88.59</c:v>
                </c:pt>
                <c:pt idx="1">
                  <c:v>5.96</c:v>
                </c:pt>
                <c:pt idx="2">
                  <c:v>3.42</c:v>
                </c:pt>
                <c:pt idx="3">
                  <c:v>2.0299999999999998</c:v>
                </c:pt>
              </c:numCache>
            </c:numRef>
          </c:val>
        </c:ser>
        <c:ser>
          <c:idx val="1"/>
          <c:order val="1"/>
          <c:tx>
            <c:strRef>
              <c:f>Sheet1!$C$1</c:f>
              <c:strCache>
                <c:ptCount val="1"/>
                <c:pt idx="0">
                  <c:v>Men (n=591)</c:v>
                </c:pt>
              </c:strCache>
            </c:strRef>
          </c:tx>
          <c:spPr>
            <a:solidFill>
              <a:srgbClr val="C00000"/>
            </a:solidFill>
          </c:spPr>
          <c:dLbls>
            <c:dLbl>
              <c:idx val="0"/>
              <c:layout>
                <c:manualLayout>
                  <c:x val="0"/>
                  <c:y val="9.1720975138788768E-2"/>
                </c:manualLayout>
              </c:layout>
              <c:numFmt formatCode="0\%" sourceLinked="0"/>
              <c:spPr/>
              <c:txPr>
                <a:bodyPr/>
                <a:lstStyle/>
                <a:p>
                  <a:pPr>
                    <a:defRPr b="1">
                      <a:solidFill>
                        <a:schemeClr val="bg1"/>
                      </a:solidFill>
                    </a:defRPr>
                  </a:pPr>
                  <a:endParaRPr lang="en-US"/>
                </a:p>
              </c:txPr>
              <c:showVal val="1"/>
            </c:dLbl>
            <c:numFmt formatCode="0\%" sourceLinked="0"/>
            <c:txPr>
              <a:bodyPr/>
              <a:lstStyle/>
              <a:p>
                <a:pPr>
                  <a:defRPr b="1"/>
                </a:pPr>
                <a:endParaRPr lang="en-US"/>
              </a:p>
            </c:txPr>
            <c:showVal val="1"/>
          </c:dLbls>
          <c:cat>
            <c:strRef>
              <c:f>Sheet1!$A$2:$A$5</c:f>
              <c:strCache>
                <c:ptCount val="4"/>
                <c:pt idx="0">
                  <c:v>Completely free</c:v>
                </c:pt>
                <c:pt idx="1">
                  <c:v>Somewhat free</c:v>
                </c:pt>
                <c:pt idx="2">
                  <c:v>Somewhat restricted</c:v>
                </c:pt>
                <c:pt idx="3">
                  <c:v>Completely restricted</c:v>
                </c:pt>
              </c:strCache>
            </c:strRef>
          </c:cat>
          <c:val>
            <c:numRef>
              <c:f>Sheet1!$C$2:$C$5</c:f>
              <c:numCache>
                <c:formatCode>0</c:formatCode>
                <c:ptCount val="4"/>
                <c:pt idx="0">
                  <c:v>86.29</c:v>
                </c:pt>
                <c:pt idx="1">
                  <c:v>5.92</c:v>
                </c:pt>
                <c:pt idx="2">
                  <c:v>3.8899999999999997</c:v>
                </c:pt>
                <c:pt idx="3">
                  <c:v>3.8899999999999997</c:v>
                </c:pt>
              </c:numCache>
            </c:numRef>
          </c:val>
        </c:ser>
        <c:gapWidth val="75"/>
        <c:overlap val="-25"/>
        <c:axId val="226359936"/>
        <c:axId val="227468416"/>
      </c:barChart>
      <c:catAx>
        <c:axId val="226359936"/>
        <c:scaling>
          <c:orientation val="minMax"/>
        </c:scaling>
        <c:axPos val="b"/>
        <c:majorTickMark val="none"/>
        <c:tickLblPos val="nextTo"/>
        <c:txPr>
          <a:bodyPr/>
          <a:lstStyle/>
          <a:p>
            <a:pPr>
              <a:defRPr b="1"/>
            </a:pPr>
            <a:endParaRPr lang="en-US"/>
          </a:p>
        </c:txPr>
        <c:crossAx val="227468416"/>
        <c:crosses val="autoZero"/>
        <c:auto val="1"/>
        <c:lblAlgn val="ctr"/>
        <c:lblOffset val="100"/>
      </c:catAx>
      <c:valAx>
        <c:axId val="227468416"/>
        <c:scaling>
          <c:orientation val="minMax"/>
        </c:scaling>
        <c:delete val="1"/>
        <c:axPos val="l"/>
        <c:numFmt formatCode="0" sourceLinked="1"/>
        <c:majorTickMark val="none"/>
        <c:tickLblPos val="none"/>
        <c:crossAx val="226359936"/>
        <c:crosses val="autoZero"/>
        <c:crossBetween val="between"/>
      </c:valAx>
    </c:plotArea>
    <c:legend>
      <c:legendPos val="b"/>
      <c:layout/>
      <c:spPr>
        <a:ln>
          <a:solidFill>
            <a:sysClr val="window" lastClr="FFFFFF">
              <a:lumMod val="65000"/>
            </a:sysClr>
          </a:solidFill>
        </a:ln>
      </c:spPr>
      <c:txPr>
        <a:bodyPr/>
        <a:lstStyle/>
        <a:p>
          <a:pPr>
            <a:defRPr b="1"/>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l">
              <a:defRPr/>
            </a:pPr>
            <a:r>
              <a:rPr lang="en-US" sz="1000" b="1" i="0" baseline="0">
                <a:latin typeface="+mn-lt"/>
              </a:rPr>
              <a:t>Figure 5- Who in your family usually has the final say about making household purchases for daily needs? </a:t>
            </a:r>
            <a:r>
              <a:rPr lang="en-US" sz="1000" b="0" i="0" baseline="0">
                <a:latin typeface="+mn-lt"/>
              </a:rPr>
              <a:t/>
            </a:r>
            <a:br>
              <a:rPr lang="en-US" sz="1000" b="0" i="0" baseline="0">
                <a:latin typeface="+mn-lt"/>
              </a:rPr>
            </a:br>
            <a:r>
              <a:rPr lang="en-US" sz="1000" b="0" i="1" baseline="0">
                <a:latin typeface="+mn-lt"/>
              </a:rPr>
              <a:t>Percentage of currently or formerly married women by age</a:t>
            </a:r>
            <a:r>
              <a:rPr lang="en-US" sz="1000" b="1" i="1" baseline="0">
                <a:latin typeface="+mn-lt"/>
              </a:rPr>
              <a:t> </a:t>
            </a:r>
          </a:p>
        </c:rich>
      </c:tx>
      <c:layout/>
      <c:spPr>
        <a:ln>
          <a:solidFill>
            <a:sysClr val="window" lastClr="FFFFFF">
              <a:lumMod val="65000"/>
            </a:sysClr>
          </a:solidFill>
        </a:ln>
      </c:spPr>
    </c:title>
    <c:plotArea>
      <c:layout>
        <c:manualLayout>
          <c:layoutTarget val="inner"/>
          <c:xMode val="edge"/>
          <c:yMode val="edge"/>
          <c:x val="0.30693452626597884"/>
          <c:y val="0.24369771238912596"/>
          <c:w val="0.66231774487308581"/>
          <c:h val="0.55991731192331118"/>
        </c:manualLayout>
      </c:layout>
      <c:barChart>
        <c:barDir val="bar"/>
        <c:grouping val="percentStacked"/>
        <c:ser>
          <c:idx val="0"/>
          <c:order val="0"/>
          <c:tx>
            <c:strRef>
              <c:f>Sheet1!$B$1</c:f>
              <c:strCache>
                <c:ptCount val="1"/>
                <c:pt idx="0">
                  <c:v>Myself</c:v>
                </c:pt>
              </c:strCache>
            </c:strRef>
          </c:tx>
          <c:spPr>
            <a:solidFill>
              <a:srgbClr val="002060"/>
            </a:solidFill>
          </c:spPr>
          <c:dLbls>
            <c:numFmt formatCode="0\%" sourceLinked="0"/>
            <c:txPr>
              <a:bodyPr/>
              <a:lstStyle/>
              <a:p>
                <a:pPr>
                  <a:defRPr b="1">
                    <a:solidFill>
                      <a:schemeClr val="bg1"/>
                    </a:solidFill>
                  </a:defRPr>
                </a:pPr>
                <a:endParaRPr lang="en-US"/>
              </a:p>
            </c:txPr>
            <c:showVal val="1"/>
          </c:dLbls>
          <c:cat>
            <c:strRef>
              <c:f>Sheet1!$A$2:$A$4</c:f>
              <c:strCache>
                <c:ptCount val="3"/>
                <c:pt idx="0">
                  <c:v> 18 to 34 (n=326)</c:v>
                </c:pt>
                <c:pt idx="1">
                  <c:v>   35 to 54 (n=669)</c:v>
                </c:pt>
                <c:pt idx="2">
                  <c:v>  55 and older (n=242)</c:v>
                </c:pt>
              </c:strCache>
            </c:strRef>
          </c:cat>
          <c:val>
            <c:numRef>
              <c:f>Sheet1!$B$2:$B$4</c:f>
              <c:numCache>
                <c:formatCode>0</c:formatCode>
                <c:ptCount val="3"/>
                <c:pt idx="0">
                  <c:v>37.730000000000011</c:v>
                </c:pt>
                <c:pt idx="1">
                  <c:v>51</c:v>
                </c:pt>
                <c:pt idx="2">
                  <c:v>61</c:v>
                </c:pt>
              </c:numCache>
            </c:numRef>
          </c:val>
        </c:ser>
        <c:ser>
          <c:idx val="1"/>
          <c:order val="1"/>
          <c:tx>
            <c:strRef>
              <c:f>Sheet1!$C$1</c:f>
              <c:strCache>
                <c:ptCount val="1"/>
                <c:pt idx="0">
                  <c:v>Husband</c:v>
                </c:pt>
              </c:strCache>
            </c:strRef>
          </c:tx>
          <c:spPr>
            <a:solidFill>
              <a:srgbClr val="0070C0"/>
            </a:solidFill>
          </c:spPr>
          <c:dLbls>
            <c:numFmt formatCode="0\%" sourceLinked="0"/>
            <c:txPr>
              <a:bodyPr/>
              <a:lstStyle/>
              <a:p>
                <a:pPr>
                  <a:defRPr b="1">
                    <a:solidFill>
                      <a:schemeClr val="bg1"/>
                    </a:solidFill>
                  </a:defRPr>
                </a:pPr>
                <a:endParaRPr lang="en-US"/>
              </a:p>
            </c:txPr>
            <c:showVal val="1"/>
          </c:dLbls>
          <c:cat>
            <c:strRef>
              <c:f>Sheet1!$A$2:$A$4</c:f>
              <c:strCache>
                <c:ptCount val="3"/>
                <c:pt idx="0">
                  <c:v> 18 to 34 (n=326)</c:v>
                </c:pt>
                <c:pt idx="1">
                  <c:v>   35 to 54 (n=669)</c:v>
                </c:pt>
                <c:pt idx="2">
                  <c:v>  55 and older (n=242)</c:v>
                </c:pt>
              </c:strCache>
            </c:strRef>
          </c:cat>
          <c:val>
            <c:numRef>
              <c:f>Sheet1!$C$2:$C$4</c:f>
              <c:numCache>
                <c:formatCode>0</c:formatCode>
                <c:ptCount val="3"/>
                <c:pt idx="0">
                  <c:v>16</c:v>
                </c:pt>
                <c:pt idx="1">
                  <c:v>10</c:v>
                </c:pt>
                <c:pt idx="2">
                  <c:v>8</c:v>
                </c:pt>
              </c:numCache>
            </c:numRef>
          </c:val>
        </c:ser>
        <c:ser>
          <c:idx val="2"/>
          <c:order val="2"/>
          <c:tx>
            <c:strRef>
              <c:f>Sheet1!$D$1</c:f>
              <c:strCache>
                <c:ptCount val="1"/>
                <c:pt idx="0">
                  <c:v>Me &amp; my husband jointly</c:v>
                </c:pt>
              </c:strCache>
            </c:strRef>
          </c:tx>
          <c:spPr>
            <a:solidFill>
              <a:srgbClr val="F57E1B"/>
            </a:solidFill>
          </c:spPr>
          <c:dLbls>
            <c:numFmt formatCode="0\%" sourceLinked="0"/>
            <c:txPr>
              <a:bodyPr/>
              <a:lstStyle/>
              <a:p>
                <a:pPr>
                  <a:defRPr b="1">
                    <a:solidFill>
                      <a:schemeClr val="bg1"/>
                    </a:solidFill>
                  </a:defRPr>
                </a:pPr>
                <a:endParaRPr lang="en-US"/>
              </a:p>
            </c:txPr>
            <c:showVal val="1"/>
          </c:dLbls>
          <c:cat>
            <c:strRef>
              <c:f>Sheet1!$A$2:$A$4</c:f>
              <c:strCache>
                <c:ptCount val="3"/>
                <c:pt idx="0">
                  <c:v> 18 to 34 (n=326)</c:v>
                </c:pt>
                <c:pt idx="1">
                  <c:v>   35 to 54 (n=669)</c:v>
                </c:pt>
                <c:pt idx="2">
                  <c:v>  55 and older (n=242)</c:v>
                </c:pt>
              </c:strCache>
            </c:strRef>
          </c:cat>
          <c:val>
            <c:numRef>
              <c:f>Sheet1!$D$2:$D$4</c:f>
              <c:numCache>
                <c:formatCode>0</c:formatCode>
                <c:ptCount val="3"/>
                <c:pt idx="0">
                  <c:v>44</c:v>
                </c:pt>
                <c:pt idx="1">
                  <c:v>38</c:v>
                </c:pt>
                <c:pt idx="2">
                  <c:v>24</c:v>
                </c:pt>
              </c:numCache>
            </c:numRef>
          </c:val>
        </c:ser>
        <c:ser>
          <c:idx val="3"/>
          <c:order val="3"/>
          <c:tx>
            <c:strRef>
              <c:f>Sheet1!$E$1</c:f>
              <c:strCache>
                <c:ptCount val="1"/>
                <c:pt idx="0">
                  <c:v>Others</c:v>
                </c:pt>
              </c:strCache>
            </c:strRef>
          </c:tx>
          <c:spPr>
            <a:solidFill>
              <a:srgbClr val="C00000"/>
            </a:solidFill>
          </c:spPr>
          <c:dLbls>
            <c:dLbl>
              <c:idx val="0"/>
              <c:layout>
                <c:manualLayout>
                  <c:x val="1.0014451935866749E-2"/>
                  <c:y val="0.10124809642422883"/>
                </c:manualLayout>
              </c:layout>
              <c:showVal val="1"/>
            </c:dLbl>
            <c:dLbl>
              <c:idx val="1"/>
              <c:layout>
                <c:manualLayout>
                  <c:x val="1.6771488469601723E-2"/>
                  <c:y val="0"/>
                </c:manualLayout>
              </c:layout>
              <c:showVal val="1"/>
            </c:dLbl>
            <c:dLbl>
              <c:idx val="2"/>
              <c:numFmt formatCode="0\%" sourceLinked="0"/>
              <c:spPr/>
              <c:txPr>
                <a:bodyPr/>
                <a:lstStyle/>
                <a:p>
                  <a:pPr>
                    <a:defRPr b="1">
                      <a:solidFill>
                        <a:schemeClr val="bg1"/>
                      </a:solidFill>
                    </a:defRPr>
                  </a:pPr>
                  <a:endParaRPr lang="en-US"/>
                </a:p>
              </c:txPr>
            </c:dLbl>
            <c:numFmt formatCode="0\%" sourceLinked="0"/>
            <c:txPr>
              <a:bodyPr/>
              <a:lstStyle/>
              <a:p>
                <a:pPr>
                  <a:defRPr b="1"/>
                </a:pPr>
                <a:endParaRPr lang="en-US"/>
              </a:p>
            </c:txPr>
            <c:showVal val="1"/>
          </c:dLbls>
          <c:cat>
            <c:strRef>
              <c:f>Sheet1!$A$2:$A$4</c:f>
              <c:strCache>
                <c:ptCount val="3"/>
                <c:pt idx="0">
                  <c:v> 18 to 34 (n=326)</c:v>
                </c:pt>
                <c:pt idx="1">
                  <c:v>   35 to 54 (n=669)</c:v>
                </c:pt>
                <c:pt idx="2">
                  <c:v>  55 and older (n=242)</c:v>
                </c:pt>
              </c:strCache>
            </c:strRef>
          </c:cat>
          <c:val>
            <c:numRef>
              <c:f>Sheet1!$E$2:$E$4</c:f>
              <c:numCache>
                <c:formatCode>0</c:formatCode>
                <c:ptCount val="3"/>
                <c:pt idx="0">
                  <c:v>2</c:v>
                </c:pt>
                <c:pt idx="1">
                  <c:v>1</c:v>
                </c:pt>
                <c:pt idx="2">
                  <c:v>7</c:v>
                </c:pt>
              </c:numCache>
            </c:numRef>
          </c:val>
        </c:ser>
        <c:gapWidth val="47"/>
        <c:overlap val="100"/>
        <c:axId val="228167040"/>
        <c:axId val="228246656"/>
      </c:barChart>
      <c:catAx>
        <c:axId val="228167040"/>
        <c:scaling>
          <c:orientation val="maxMin"/>
        </c:scaling>
        <c:axPos val="l"/>
        <c:majorTickMark val="none"/>
        <c:tickLblPos val="nextTo"/>
        <c:txPr>
          <a:bodyPr/>
          <a:lstStyle/>
          <a:p>
            <a:pPr>
              <a:defRPr b="1"/>
            </a:pPr>
            <a:endParaRPr lang="en-US"/>
          </a:p>
        </c:txPr>
        <c:crossAx val="228246656"/>
        <c:crosses val="autoZero"/>
        <c:auto val="1"/>
        <c:lblAlgn val="ctr"/>
        <c:lblOffset val="100"/>
      </c:catAx>
      <c:valAx>
        <c:axId val="228246656"/>
        <c:scaling>
          <c:orientation val="minMax"/>
        </c:scaling>
        <c:delete val="1"/>
        <c:axPos val="t"/>
        <c:numFmt formatCode="0%" sourceLinked="1"/>
        <c:majorTickMark val="none"/>
        <c:tickLblPos val="none"/>
        <c:crossAx val="228167040"/>
        <c:crosses val="autoZero"/>
        <c:crossBetween val="between"/>
      </c:valAx>
    </c:plotArea>
    <c:legend>
      <c:legendPos val="b"/>
      <c:layout>
        <c:manualLayout>
          <c:xMode val="edge"/>
          <c:yMode val="edge"/>
          <c:x val="0.10242669351865644"/>
          <c:y val="0.84431034633434421"/>
          <c:w val="0.79514639286441391"/>
          <c:h val="6.6899420591294015E-2"/>
        </c:manualLayout>
      </c:layout>
      <c:spPr>
        <a:ln>
          <a:solidFill>
            <a:sysClr val="window" lastClr="FFFFFF">
              <a:lumMod val="65000"/>
            </a:sysClr>
          </a:solidFill>
        </a:ln>
      </c:spPr>
      <c:txPr>
        <a:bodyPr/>
        <a:lstStyle/>
        <a:p>
          <a:pPr>
            <a:defRPr b="1"/>
          </a:pPr>
          <a:endParaRPr lang="en-US"/>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l">
              <a:defRPr/>
            </a:pPr>
            <a:r>
              <a:rPr lang="en-US" sz="1000" b="1" i="0" baseline="0">
                <a:latin typeface="+mn-lt"/>
              </a:rPr>
              <a:t>Figure 6- Who in your family usually has the final say about making household purchases for daily needs?  </a:t>
            </a:r>
            <a:br>
              <a:rPr lang="en-US" sz="1000" b="1" i="0" baseline="0">
                <a:latin typeface="+mn-lt"/>
              </a:rPr>
            </a:br>
            <a:r>
              <a:rPr lang="en-US" sz="1000" b="0" i="1" baseline="0">
                <a:latin typeface="+mn-lt"/>
              </a:rPr>
              <a:t>Percentage of currently or formerly married women by whether or not they work for pay.</a:t>
            </a:r>
          </a:p>
        </c:rich>
      </c:tx>
      <c:layout>
        <c:manualLayout>
          <c:xMode val="edge"/>
          <c:yMode val="edge"/>
          <c:x val="0.12833553500660502"/>
          <c:y val="2.2753128555176465E-2"/>
        </c:manualLayout>
      </c:layout>
      <c:spPr>
        <a:ln>
          <a:solidFill>
            <a:sysClr val="window" lastClr="FFFFFF">
              <a:lumMod val="65000"/>
            </a:sysClr>
          </a:solidFill>
        </a:ln>
      </c:spPr>
    </c:title>
    <c:plotArea>
      <c:layout>
        <c:manualLayout>
          <c:layoutTarget val="inner"/>
          <c:xMode val="edge"/>
          <c:yMode val="edge"/>
          <c:x val="3.5211256618021852E-2"/>
          <c:y val="0.20448941322607744"/>
          <c:w val="0.92957746478873238"/>
          <c:h val="0.56054055743032161"/>
        </c:manualLayout>
      </c:layout>
      <c:barChart>
        <c:barDir val="col"/>
        <c:grouping val="clustered"/>
        <c:ser>
          <c:idx val="0"/>
          <c:order val="0"/>
          <c:tx>
            <c:strRef>
              <c:f>Sheet1!$B$1</c:f>
              <c:strCache>
                <c:ptCount val="1"/>
                <c:pt idx="0">
                  <c:v>      Yes (n=342)</c:v>
                </c:pt>
              </c:strCache>
            </c:strRef>
          </c:tx>
          <c:spPr>
            <a:solidFill>
              <a:srgbClr val="002060"/>
            </a:solidFill>
          </c:spPr>
          <c:dLbls>
            <c:dLbl>
              <c:idx val="0"/>
              <c:layout>
                <c:manualLayout>
                  <c:x val="0"/>
                  <c:y val="7.9635949943117193E-2"/>
                </c:manualLayout>
              </c:layout>
              <c:showVal val="1"/>
            </c:dLbl>
            <c:dLbl>
              <c:idx val="1"/>
              <c:layout>
                <c:manualLayout>
                  <c:x val="0"/>
                  <c:y val="7.5843761850588096E-2"/>
                </c:manualLayout>
              </c:layout>
              <c:showVal val="1"/>
            </c:dLbl>
            <c:dLbl>
              <c:idx val="2"/>
              <c:layout>
                <c:manualLayout>
                  <c:x val="0"/>
                  <c:y val="7.5843761850588096E-2"/>
                </c:manualLayout>
              </c:layout>
              <c:showVal val="1"/>
            </c:dLbl>
            <c:dLbl>
              <c:idx val="3"/>
              <c:numFmt formatCode="0\%" sourceLinked="0"/>
              <c:spPr/>
              <c:txPr>
                <a:bodyPr/>
                <a:lstStyle/>
                <a:p>
                  <a:pPr>
                    <a:defRPr b="1">
                      <a:solidFill>
                        <a:sysClr val="windowText" lastClr="000000"/>
                      </a:solidFill>
                    </a:defRPr>
                  </a:pPr>
                  <a:endParaRPr lang="en-US"/>
                </a:p>
              </c:txPr>
            </c:dLbl>
            <c:numFmt formatCode="0\%" sourceLinked="0"/>
            <c:txPr>
              <a:bodyPr/>
              <a:lstStyle/>
              <a:p>
                <a:pPr>
                  <a:defRPr b="1">
                    <a:solidFill>
                      <a:schemeClr val="bg1"/>
                    </a:solidFill>
                  </a:defRPr>
                </a:pPr>
                <a:endParaRPr lang="en-US"/>
              </a:p>
            </c:txPr>
            <c:showVal val="1"/>
          </c:dLbls>
          <c:cat>
            <c:strRef>
              <c:f>Sheet1!$A$2:$A$5</c:f>
              <c:strCache>
                <c:ptCount val="4"/>
                <c:pt idx="0">
                  <c:v>Myself</c:v>
                </c:pt>
                <c:pt idx="1">
                  <c:v>Husband</c:v>
                </c:pt>
                <c:pt idx="2">
                  <c:v>Me &amp; my husband jointly</c:v>
                </c:pt>
                <c:pt idx="3">
                  <c:v>Others</c:v>
                </c:pt>
              </c:strCache>
            </c:strRef>
          </c:cat>
          <c:val>
            <c:numRef>
              <c:f>Sheet1!$B$2:$B$5</c:f>
              <c:numCache>
                <c:formatCode>0</c:formatCode>
                <c:ptCount val="4"/>
                <c:pt idx="0">
                  <c:v>54.68</c:v>
                </c:pt>
                <c:pt idx="1">
                  <c:v>7.31</c:v>
                </c:pt>
                <c:pt idx="2">
                  <c:v>36.260000000000012</c:v>
                </c:pt>
                <c:pt idx="3">
                  <c:v>1.75</c:v>
                </c:pt>
              </c:numCache>
            </c:numRef>
          </c:val>
        </c:ser>
        <c:ser>
          <c:idx val="1"/>
          <c:order val="1"/>
          <c:tx>
            <c:strRef>
              <c:f>Sheet1!$C$1</c:f>
              <c:strCache>
                <c:ptCount val="1"/>
                <c:pt idx="0">
                  <c:v>         No (n=963)</c:v>
                </c:pt>
              </c:strCache>
            </c:strRef>
          </c:tx>
          <c:spPr>
            <a:solidFill>
              <a:srgbClr val="C00000"/>
            </a:solidFill>
          </c:spPr>
          <c:dLbls>
            <c:dLbl>
              <c:idx val="0"/>
              <c:layout>
                <c:manualLayout>
                  <c:x val="0"/>
                  <c:y val="7.9635949943117193E-2"/>
                </c:manualLayout>
              </c:layout>
              <c:showVal val="1"/>
            </c:dLbl>
            <c:dLbl>
              <c:idx val="1"/>
              <c:layout>
                <c:manualLayout>
                  <c:x val="0"/>
                  <c:y val="7.9635949943117193E-2"/>
                </c:manualLayout>
              </c:layout>
              <c:showVal val="1"/>
            </c:dLbl>
            <c:dLbl>
              <c:idx val="2"/>
              <c:layout>
                <c:manualLayout>
                  <c:x val="0"/>
                  <c:y val="7.5843761850588096E-2"/>
                </c:manualLayout>
              </c:layout>
              <c:showVal val="1"/>
            </c:dLbl>
            <c:dLbl>
              <c:idx val="3"/>
              <c:numFmt formatCode="0\%" sourceLinked="0"/>
              <c:spPr/>
              <c:txPr>
                <a:bodyPr/>
                <a:lstStyle/>
                <a:p>
                  <a:pPr>
                    <a:defRPr b="1">
                      <a:solidFill>
                        <a:sysClr val="windowText" lastClr="000000"/>
                      </a:solidFill>
                    </a:defRPr>
                  </a:pPr>
                  <a:endParaRPr lang="en-US"/>
                </a:p>
              </c:txPr>
            </c:dLbl>
            <c:numFmt formatCode="0\%" sourceLinked="0"/>
            <c:txPr>
              <a:bodyPr/>
              <a:lstStyle/>
              <a:p>
                <a:pPr>
                  <a:defRPr b="1">
                    <a:solidFill>
                      <a:schemeClr val="bg1"/>
                    </a:solidFill>
                  </a:defRPr>
                </a:pPr>
                <a:endParaRPr lang="en-US"/>
              </a:p>
            </c:txPr>
            <c:showVal val="1"/>
          </c:dLbls>
          <c:cat>
            <c:strRef>
              <c:f>Sheet1!$A$2:$A$5</c:f>
              <c:strCache>
                <c:ptCount val="4"/>
                <c:pt idx="0">
                  <c:v>Myself</c:v>
                </c:pt>
                <c:pt idx="1">
                  <c:v>Husband</c:v>
                </c:pt>
                <c:pt idx="2">
                  <c:v>Me &amp; my husband jointly</c:v>
                </c:pt>
                <c:pt idx="3">
                  <c:v>Others</c:v>
                </c:pt>
              </c:strCache>
            </c:strRef>
          </c:cat>
          <c:val>
            <c:numRef>
              <c:f>Sheet1!$C$2:$C$5</c:f>
              <c:numCache>
                <c:formatCode>0</c:formatCode>
                <c:ptCount val="4"/>
                <c:pt idx="0">
                  <c:v>48.290000000000013</c:v>
                </c:pt>
                <c:pt idx="1">
                  <c:v>12.25</c:v>
                </c:pt>
                <c:pt idx="2">
                  <c:v>36.86</c:v>
                </c:pt>
                <c:pt idx="3">
                  <c:v>2.6</c:v>
                </c:pt>
              </c:numCache>
            </c:numRef>
          </c:val>
        </c:ser>
        <c:gapWidth val="75"/>
        <c:overlap val="-25"/>
        <c:axId val="228768768"/>
        <c:axId val="228787328"/>
      </c:barChart>
      <c:catAx>
        <c:axId val="228768768"/>
        <c:scaling>
          <c:orientation val="minMax"/>
        </c:scaling>
        <c:axPos val="b"/>
        <c:majorTickMark val="none"/>
        <c:tickLblPos val="nextTo"/>
        <c:txPr>
          <a:bodyPr/>
          <a:lstStyle/>
          <a:p>
            <a:pPr>
              <a:defRPr b="1"/>
            </a:pPr>
            <a:endParaRPr lang="en-US"/>
          </a:p>
        </c:txPr>
        <c:crossAx val="228787328"/>
        <c:crosses val="autoZero"/>
        <c:auto val="1"/>
        <c:lblAlgn val="ctr"/>
        <c:lblOffset val="100"/>
      </c:catAx>
      <c:valAx>
        <c:axId val="228787328"/>
        <c:scaling>
          <c:orientation val="minMax"/>
        </c:scaling>
        <c:delete val="1"/>
        <c:axPos val="l"/>
        <c:numFmt formatCode="0" sourceLinked="1"/>
        <c:majorTickMark val="none"/>
        <c:tickLblPos val="none"/>
        <c:crossAx val="228768768"/>
        <c:crosses val="autoZero"/>
        <c:crossBetween val="between"/>
      </c:valAx>
    </c:plotArea>
    <c:legend>
      <c:legendPos val="b"/>
      <c:layout/>
      <c:spPr>
        <a:ln>
          <a:solidFill>
            <a:sysClr val="window" lastClr="FFFFFF">
              <a:lumMod val="65000"/>
            </a:sysClr>
          </a:solidFill>
        </a:ln>
      </c:spPr>
      <c:txPr>
        <a:bodyPr/>
        <a:lstStyle/>
        <a:p>
          <a:pPr>
            <a:defRPr b="1"/>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l">
              <a:defRPr/>
            </a:pPr>
            <a:r>
              <a:rPr lang="en-US" sz="1000" b="1" i="0" baseline="0">
                <a:latin typeface="+mn-lt"/>
              </a:rPr>
              <a:t>Figure 7- Who in your family usually has the final say on family decisions, such as making large household purchases?</a:t>
            </a:r>
            <a:r>
              <a:rPr lang="en-US" sz="1000" b="0" i="0" baseline="0">
                <a:latin typeface="+mn-lt"/>
              </a:rPr>
              <a:t/>
            </a:r>
            <a:br>
              <a:rPr lang="en-US" sz="1000" b="0" i="0" baseline="0">
                <a:latin typeface="+mn-lt"/>
              </a:rPr>
            </a:br>
            <a:r>
              <a:rPr lang="en-US" sz="1000" b="0" i="1" baseline="0">
                <a:latin typeface="+mn-lt"/>
              </a:rPr>
              <a:t>Percentage of currently or formerly married women by age </a:t>
            </a:r>
            <a:r>
              <a:rPr lang="en-US" sz="1000" b="1" i="1" baseline="0">
                <a:latin typeface="+mn-lt"/>
              </a:rPr>
              <a:t> </a:t>
            </a:r>
          </a:p>
        </c:rich>
      </c:tx>
      <c:layout/>
      <c:spPr>
        <a:ln>
          <a:solidFill>
            <a:schemeClr val="bg1">
              <a:lumMod val="65000"/>
            </a:schemeClr>
          </a:solidFill>
        </a:ln>
      </c:spPr>
    </c:title>
    <c:plotArea>
      <c:layout/>
      <c:barChart>
        <c:barDir val="bar"/>
        <c:grouping val="percentStacked"/>
        <c:ser>
          <c:idx val="0"/>
          <c:order val="0"/>
          <c:tx>
            <c:strRef>
              <c:f>Sheet1!$B$1</c:f>
              <c:strCache>
                <c:ptCount val="1"/>
                <c:pt idx="0">
                  <c:v> 18-34 (n=326)</c:v>
                </c:pt>
              </c:strCache>
            </c:strRef>
          </c:tx>
          <c:spPr>
            <a:solidFill>
              <a:srgbClr val="C00000"/>
            </a:solidFill>
          </c:spPr>
          <c:dLbls>
            <c:numFmt formatCode="0\%" sourceLinked="0"/>
            <c:txPr>
              <a:bodyPr/>
              <a:lstStyle/>
              <a:p>
                <a:pPr>
                  <a:defRPr b="1">
                    <a:solidFill>
                      <a:schemeClr val="bg1"/>
                    </a:solidFill>
                  </a:defRPr>
                </a:pPr>
                <a:endParaRPr lang="en-US"/>
              </a:p>
            </c:txPr>
            <c:showVal val="1"/>
          </c:dLbls>
          <c:cat>
            <c:strRef>
              <c:f>Sheet1!$A$2:$A$4</c:f>
              <c:strCache>
                <c:ptCount val="3"/>
                <c:pt idx="0">
                  <c:v>Myself</c:v>
                </c:pt>
                <c:pt idx="1">
                  <c:v>Husband</c:v>
                </c:pt>
                <c:pt idx="2">
                  <c:v>Me &amp; my husband jointly</c:v>
                </c:pt>
              </c:strCache>
            </c:strRef>
          </c:cat>
          <c:val>
            <c:numRef>
              <c:f>Sheet1!$B$2:$B$4</c:f>
              <c:numCache>
                <c:formatCode>0</c:formatCode>
                <c:ptCount val="3"/>
                <c:pt idx="0">
                  <c:v>10.43</c:v>
                </c:pt>
                <c:pt idx="1">
                  <c:v>22.39</c:v>
                </c:pt>
                <c:pt idx="2">
                  <c:v>64.11</c:v>
                </c:pt>
              </c:numCache>
            </c:numRef>
          </c:val>
        </c:ser>
        <c:ser>
          <c:idx val="1"/>
          <c:order val="1"/>
          <c:tx>
            <c:strRef>
              <c:f>Sheet1!$C$1</c:f>
              <c:strCache>
                <c:ptCount val="1"/>
                <c:pt idx="0">
                  <c:v>   35-54 (n=675)</c:v>
                </c:pt>
              </c:strCache>
            </c:strRef>
          </c:tx>
          <c:spPr>
            <a:solidFill>
              <a:srgbClr val="F57E1B"/>
            </a:solidFill>
          </c:spPr>
          <c:dLbls>
            <c:numFmt formatCode="0\%" sourceLinked="0"/>
            <c:txPr>
              <a:bodyPr/>
              <a:lstStyle/>
              <a:p>
                <a:pPr>
                  <a:defRPr b="1">
                    <a:solidFill>
                      <a:schemeClr val="bg1"/>
                    </a:solidFill>
                  </a:defRPr>
                </a:pPr>
                <a:endParaRPr lang="en-US"/>
              </a:p>
            </c:txPr>
            <c:showVal val="1"/>
          </c:dLbls>
          <c:cat>
            <c:strRef>
              <c:f>Sheet1!$A$2:$A$4</c:f>
              <c:strCache>
                <c:ptCount val="3"/>
                <c:pt idx="0">
                  <c:v>Myself</c:v>
                </c:pt>
                <c:pt idx="1">
                  <c:v>Husband</c:v>
                </c:pt>
                <c:pt idx="2">
                  <c:v>Me &amp; my husband jointly</c:v>
                </c:pt>
              </c:strCache>
            </c:strRef>
          </c:cat>
          <c:val>
            <c:numRef>
              <c:f>Sheet1!$C$2:$C$4</c:f>
              <c:numCache>
                <c:formatCode>0</c:formatCode>
                <c:ptCount val="3"/>
                <c:pt idx="0">
                  <c:v>22.07</c:v>
                </c:pt>
                <c:pt idx="1">
                  <c:v>13.33</c:v>
                </c:pt>
                <c:pt idx="2">
                  <c:v>64.149999999999991</c:v>
                </c:pt>
              </c:numCache>
            </c:numRef>
          </c:val>
        </c:ser>
        <c:ser>
          <c:idx val="2"/>
          <c:order val="2"/>
          <c:tx>
            <c:strRef>
              <c:f>Sheet1!$D$1</c:f>
              <c:strCache>
                <c:ptCount val="1"/>
                <c:pt idx="0">
                  <c:v>  55+ (n=248)</c:v>
                </c:pt>
              </c:strCache>
            </c:strRef>
          </c:tx>
          <c:spPr>
            <a:solidFill>
              <a:srgbClr val="0070C0"/>
            </a:solidFill>
          </c:spPr>
          <c:dLbls>
            <c:numFmt formatCode="0\%" sourceLinked="0"/>
            <c:txPr>
              <a:bodyPr/>
              <a:lstStyle/>
              <a:p>
                <a:pPr>
                  <a:defRPr b="1">
                    <a:solidFill>
                      <a:schemeClr val="bg1"/>
                    </a:solidFill>
                  </a:defRPr>
                </a:pPr>
                <a:endParaRPr lang="en-US"/>
              </a:p>
            </c:txPr>
            <c:showVal val="1"/>
          </c:dLbls>
          <c:cat>
            <c:strRef>
              <c:f>Sheet1!$A$2:$A$4</c:f>
              <c:strCache>
                <c:ptCount val="3"/>
                <c:pt idx="0">
                  <c:v>Myself</c:v>
                </c:pt>
                <c:pt idx="1">
                  <c:v>Husband</c:v>
                </c:pt>
                <c:pt idx="2">
                  <c:v>Me &amp; my husband jointly</c:v>
                </c:pt>
              </c:strCache>
            </c:strRef>
          </c:cat>
          <c:val>
            <c:numRef>
              <c:f>Sheet1!$D$2:$D$4</c:f>
              <c:numCache>
                <c:formatCode>0</c:formatCode>
                <c:ptCount val="3"/>
                <c:pt idx="0">
                  <c:v>33.47</c:v>
                </c:pt>
                <c:pt idx="1">
                  <c:v>11.29</c:v>
                </c:pt>
                <c:pt idx="2">
                  <c:v>48.39</c:v>
                </c:pt>
              </c:numCache>
            </c:numRef>
          </c:val>
        </c:ser>
        <c:ser>
          <c:idx val="3"/>
          <c:order val="3"/>
          <c:tx>
            <c:strRef>
              <c:f>Sheet1!$E$1</c:f>
              <c:strCache>
                <c:ptCount val="1"/>
              </c:strCache>
            </c:strRef>
          </c:tx>
          <c:spPr>
            <a:solidFill>
              <a:srgbClr val="002060"/>
            </a:solidFill>
          </c:spPr>
          <c:dLbls>
            <c:dLbl>
              <c:idx val="1"/>
              <c:layout>
                <c:manualLayout>
                  <c:x val="-5.5975370836831946E-3"/>
                  <c:y val="0"/>
                </c:manualLayout>
              </c:layout>
              <c:showVal val="1"/>
            </c:dLbl>
            <c:numFmt formatCode="0\%" sourceLinked="0"/>
            <c:txPr>
              <a:bodyPr/>
              <a:lstStyle/>
              <a:p>
                <a:pPr>
                  <a:defRPr b="1">
                    <a:solidFill>
                      <a:schemeClr val="bg1"/>
                    </a:solidFill>
                  </a:defRPr>
                </a:pPr>
                <a:endParaRPr lang="en-US"/>
              </a:p>
            </c:txPr>
            <c:showVal val="1"/>
          </c:dLbls>
          <c:cat>
            <c:strRef>
              <c:f>Sheet1!$A$2:$A$4</c:f>
              <c:strCache>
                <c:ptCount val="3"/>
                <c:pt idx="0">
                  <c:v>Myself</c:v>
                </c:pt>
                <c:pt idx="1">
                  <c:v>Husband</c:v>
                </c:pt>
                <c:pt idx="2">
                  <c:v>Me &amp; my husband jointly</c:v>
                </c:pt>
              </c:strCache>
            </c:strRef>
          </c:cat>
          <c:val>
            <c:numRef>
              <c:f>Sheet1!$E$2:$E$4</c:f>
              <c:numCache>
                <c:formatCode>General</c:formatCode>
                <c:ptCount val="3"/>
              </c:numCache>
            </c:numRef>
          </c:val>
        </c:ser>
        <c:gapWidth val="75"/>
        <c:overlap val="100"/>
        <c:axId val="233932288"/>
        <c:axId val="233933824"/>
      </c:barChart>
      <c:catAx>
        <c:axId val="233932288"/>
        <c:scaling>
          <c:orientation val="maxMin"/>
        </c:scaling>
        <c:axPos val="l"/>
        <c:majorTickMark val="none"/>
        <c:tickLblPos val="nextTo"/>
        <c:txPr>
          <a:bodyPr/>
          <a:lstStyle/>
          <a:p>
            <a:pPr>
              <a:defRPr b="1"/>
            </a:pPr>
            <a:endParaRPr lang="en-US"/>
          </a:p>
        </c:txPr>
        <c:crossAx val="233933824"/>
        <c:crosses val="autoZero"/>
        <c:auto val="1"/>
        <c:lblAlgn val="ctr"/>
        <c:lblOffset val="100"/>
      </c:catAx>
      <c:valAx>
        <c:axId val="233933824"/>
        <c:scaling>
          <c:orientation val="minMax"/>
        </c:scaling>
        <c:delete val="1"/>
        <c:axPos val="t"/>
        <c:numFmt formatCode="0%" sourceLinked="1"/>
        <c:majorTickMark val="none"/>
        <c:tickLblPos val="none"/>
        <c:crossAx val="233932288"/>
        <c:crosses val="autoZero"/>
        <c:crossBetween val="between"/>
      </c:valAx>
    </c:plotArea>
    <c:legend>
      <c:legendPos val="b"/>
      <c:layout/>
      <c:spPr>
        <a:ln>
          <a:solidFill>
            <a:sysClr val="window" lastClr="FFFFFF">
              <a:lumMod val="65000"/>
            </a:sysClr>
          </a:solidFill>
        </a:ln>
      </c:spPr>
      <c:txPr>
        <a:bodyPr/>
        <a:lstStyle/>
        <a:p>
          <a:pPr>
            <a:defRPr b="1"/>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l">
              <a:defRPr/>
            </a:pPr>
            <a:r>
              <a:rPr lang="en-US" sz="1000" b="1" i="0" baseline="0">
                <a:latin typeface="+mn-lt"/>
              </a:rPr>
              <a:t>Figure 8- Who in your family usually has the final say on family decisions, such as buying a house?</a:t>
            </a:r>
            <a:r>
              <a:rPr lang="en-US" sz="1000" b="0" i="0" baseline="0">
                <a:latin typeface="+mn-lt"/>
              </a:rPr>
              <a:t/>
            </a:r>
            <a:br>
              <a:rPr lang="en-US" sz="1000" b="0" i="0" baseline="0">
                <a:latin typeface="+mn-lt"/>
              </a:rPr>
            </a:br>
            <a:r>
              <a:rPr lang="en-US" sz="1000" b="0" i="1" baseline="0">
                <a:latin typeface="+mn-lt"/>
              </a:rPr>
              <a:t>Percentage of currently or formerly married women by age </a:t>
            </a:r>
            <a:r>
              <a:rPr lang="en-US" sz="1000" b="1" i="1" baseline="0">
                <a:latin typeface="+mn-lt"/>
              </a:rPr>
              <a:t> </a:t>
            </a:r>
          </a:p>
        </c:rich>
      </c:tx>
      <c:layout/>
      <c:spPr>
        <a:ln>
          <a:solidFill>
            <a:sysClr val="window" lastClr="FFFFFF">
              <a:lumMod val="65000"/>
            </a:sysClr>
          </a:solidFill>
        </a:ln>
      </c:spPr>
    </c:title>
    <c:plotArea>
      <c:layout/>
      <c:barChart>
        <c:barDir val="bar"/>
        <c:grouping val="percentStacked"/>
        <c:ser>
          <c:idx val="0"/>
          <c:order val="0"/>
          <c:tx>
            <c:strRef>
              <c:f>Sheet1!$B$1</c:f>
              <c:strCache>
                <c:ptCount val="1"/>
                <c:pt idx="0">
                  <c:v>Myself</c:v>
                </c:pt>
              </c:strCache>
            </c:strRef>
          </c:tx>
          <c:spPr>
            <a:solidFill>
              <a:srgbClr val="C00000"/>
            </a:solidFill>
          </c:spPr>
          <c:dLbls>
            <c:numFmt formatCode="0\%" sourceLinked="0"/>
            <c:txPr>
              <a:bodyPr/>
              <a:lstStyle/>
              <a:p>
                <a:pPr>
                  <a:defRPr b="1">
                    <a:solidFill>
                      <a:schemeClr val="bg1"/>
                    </a:solidFill>
                  </a:defRPr>
                </a:pPr>
                <a:endParaRPr lang="en-US"/>
              </a:p>
            </c:txPr>
            <c:showVal val="1"/>
          </c:dLbls>
          <c:cat>
            <c:strRef>
              <c:f>Sheet1!$A$2:$A$4</c:f>
              <c:strCache>
                <c:ptCount val="3"/>
                <c:pt idx="0">
                  <c:v> 18 to 34 (n=326)</c:v>
                </c:pt>
                <c:pt idx="1">
                  <c:v>   35 to 54 (n=669)</c:v>
                </c:pt>
                <c:pt idx="2">
                  <c:v>  55 and older (n=242)</c:v>
                </c:pt>
              </c:strCache>
            </c:strRef>
          </c:cat>
          <c:val>
            <c:numRef>
              <c:f>Sheet1!$B$2:$B$4</c:f>
              <c:numCache>
                <c:formatCode>0</c:formatCode>
                <c:ptCount val="3"/>
                <c:pt idx="0">
                  <c:v>5.21</c:v>
                </c:pt>
                <c:pt idx="1">
                  <c:v>11.360000000000021</c:v>
                </c:pt>
                <c:pt idx="2">
                  <c:v>25.62</c:v>
                </c:pt>
              </c:numCache>
            </c:numRef>
          </c:val>
        </c:ser>
        <c:ser>
          <c:idx val="1"/>
          <c:order val="1"/>
          <c:tx>
            <c:strRef>
              <c:f>Sheet1!$C$1</c:f>
              <c:strCache>
                <c:ptCount val="1"/>
                <c:pt idx="0">
                  <c:v>Husband</c:v>
                </c:pt>
              </c:strCache>
            </c:strRef>
          </c:tx>
          <c:spPr>
            <a:solidFill>
              <a:srgbClr val="F57E1B"/>
            </a:solidFill>
          </c:spPr>
          <c:dLbls>
            <c:numFmt formatCode="0\%" sourceLinked="0"/>
            <c:txPr>
              <a:bodyPr/>
              <a:lstStyle/>
              <a:p>
                <a:pPr>
                  <a:defRPr b="1">
                    <a:solidFill>
                      <a:schemeClr val="bg1"/>
                    </a:solidFill>
                  </a:defRPr>
                </a:pPr>
                <a:endParaRPr lang="en-US"/>
              </a:p>
            </c:txPr>
            <c:showVal val="1"/>
          </c:dLbls>
          <c:cat>
            <c:strRef>
              <c:f>Sheet1!$A$2:$A$4</c:f>
              <c:strCache>
                <c:ptCount val="3"/>
                <c:pt idx="0">
                  <c:v> 18 to 34 (n=326)</c:v>
                </c:pt>
                <c:pt idx="1">
                  <c:v>   35 to 54 (n=669)</c:v>
                </c:pt>
                <c:pt idx="2">
                  <c:v>  55 and older (n=242)</c:v>
                </c:pt>
              </c:strCache>
            </c:strRef>
          </c:cat>
          <c:val>
            <c:numRef>
              <c:f>Sheet1!$C$2:$C$4</c:f>
              <c:numCache>
                <c:formatCode>0</c:formatCode>
                <c:ptCount val="3"/>
                <c:pt idx="0">
                  <c:v>26.07</c:v>
                </c:pt>
                <c:pt idx="1">
                  <c:v>20.03</c:v>
                </c:pt>
                <c:pt idx="2">
                  <c:v>14.46</c:v>
                </c:pt>
              </c:numCache>
            </c:numRef>
          </c:val>
        </c:ser>
        <c:ser>
          <c:idx val="2"/>
          <c:order val="2"/>
          <c:tx>
            <c:strRef>
              <c:f>Sheet1!$D$1</c:f>
              <c:strCache>
                <c:ptCount val="1"/>
                <c:pt idx="0">
                  <c:v>Me &amp; my husband jointly</c:v>
                </c:pt>
              </c:strCache>
            </c:strRef>
          </c:tx>
          <c:spPr>
            <a:solidFill>
              <a:srgbClr val="0070C0"/>
            </a:solidFill>
          </c:spPr>
          <c:dLbls>
            <c:numFmt formatCode="0\%" sourceLinked="0"/>
            <c:txPr>
              <a:bodyPr/>
              <a:lstStyle/>
              <a:p>
                <a:pPr>
                  <a:defRPr b="1">
                    <a:solidFill>
                      <a:schemeClr val="bg1"/>
                    </a:solidFill>
                  </a:defRPr>
                </a:pPr>
                <a:endParaRPr lang="en-US"/>
              </a:p>
            </c:txPr>
            <c:showVal val="1"/>
          </c:dLbls>
          <c:cat>
            <c:strRef>
              <c:f>Sheet1!$A$2:$A$4</c:f>
              <c:strCache>
                <c:ptCount val="3"/>
                <c:pt idx="0">
                  <c:v> 18 to 34 (n=326)</c:v>
                </c:pt>
                <c:pt idx="1">
                  <c:v>   35 to 54 (n=669)</c:v>
                </c:pt>
                <c:pt idx="2">
                  <c:v>  55 and older (n=242)</c:v>
                </c:pt>
              </c:strCache>
            </c:strRef>
          </c:cat>
          <c:val>
            <c:numRef>
              <c:f>Sheet1!$D$2:$D$4</c:f>
              <c:numCache>
                <c:formatCode>0</c:formatCode>
                <c:ptCount val="3"/>
                <c:pt idx="0">
                  <c:v>66.56</c:v>
                </c:pt>
                <c:pt idx="1">
                  <c:v>67.86</c:v>
                </c:pt>
                <c:pt idx="2">
                  <c:v>52.89</c:v>
                </c:pt>
              </c:numCache>
            </c:numRef>
          </c:val>
        </c:ser>
        <c:ser>
          <c:idx val="3"/>
          <c:order val="3"/>
          <c:tx>
            <c:strRef>
              <c:f>Sheet1!$E$1</c:f>
              <c:strCache>
                <c:ptCount val="1"/>
                <c:pt idx="0">
                  <c:v>Others</c:v>
                </c:pt>
              </c:strCache>
            </c:strRef>
          </c:tx>
          <c:spPr>
            <a:solidFill>
              <a:srgbClr val="002060"/>
            </a:solidFill>
          </c:spPr>
          <c:dLbls>
            <c:dLbl>
              <c:idx val="0"/>
              <c:layout>
                <c:manualLayout>
                  <c:x val="-1.4202528049992946E-2"/>
                  <c:y val="0"/>
                </c:manualLayout>
              </c:layout>
              <c:showVal val="1"/>
            </c:dLbl>
            <c:dLbl>
              <c:idx val="1"/>
              <c:layout>
                <c:manualLayout>
                  <c:x val="-1.9883762931849115E-2"/>
                  <c:y val="1.3749736463384492E-6"/>
                </c:manualLayout>
              </c:layout>
              <c:showVal val="1"/>
            </c:dLbl>
            <c:numFmt formatCode="0\%" sourceLinked="0"/>
            <c:txPr>
              <a:bodyPr/>
              <a:lstStyle/>
              <a:p>
                <a:pPr>
                  <a:defRPr b="1">
                    <a:solidFill>
                      <a:schemeClr val="bg1"/>
                    </a:solidFill>
                  </a:defRPr>
                </a:pPr>
                <a:endParaRPr lang="en-US"/>
              </a:p>
            </c:txPr>
            <c:showVal val="1"/>
          </c:dLbls>
          <c:cat>
            <c:strRef>
              <c:f>Sheet1!$A$2:$A$4</c:f>
              <c:strCache>
                <c:ptCount val="3"/>
                <c:pt idx="0">
                  <c:v> 18 to 34 (n=326)</c:v>
                </c:pt>
                <c:pt idx="1">
                  <c:v>   35 to 54 (n=669)</c:v>
                </c:pt>
                <c:pt idx="2">
                  <c:v>  55 and older (n=242)</c:v>
                </c:pt>
              </c:strCache>
            </c:strRef>
          </c:cat>
          <c:val>
            <c:numRef>
              <c:f>Sheet1!$E$2:$E$4</c:f>
              <c:numCache>
                <c:formatCode>0</c:formatCode>
                <c:ptCount val="3"/>
                <c:pt idx="0">
                  <c:v>2.15</c:v>
                </c:pt>
                <c:pt idx="1">
                  <c:v>0.75000000000000144</c:v>
                </c:pt>
                <c:pt idx="2">
                  <c:v>7.02</c:v>
                </c:pt>
              </c:numCache>
            </c:numRef>
          </c:val>
        </c:ser>
        <c:gapWidth val="75"/>
        <c:overlap val="100"/>
        <c:axId val="234337408"/>
        <c:axId val="234339328"/>
      </c:barChart>
      <c:catAx>
        <c:axId val="234337408"/>
        <c:scaling>
          <c:orientation val="maxMin"/>
        </c:scaling>
        <c:axPos val="l"/>
        <c:majorTickMark val="none"/>
        <c:tickLblPos val="nextTo"/>
        <c:txPr>
          <a:bodyPr/>
          <a:lstStyle/>
          <a:p>
            <a:pPr>
              <a:defRPr b="1"/>
            </a:pPr>
            <a:endParaRPr lang="en-US"/>
          </a:p>
        </c:txPr>
        <c:crossAx val="234339328"/>
        <c:crosses val="autoZero"/>
        <c:auto val="1"/>
        <c:lblAlgn val="ctr"/>
        <c:lblOffset val="100"/>
      </c:catAx>
      <c:valAx>
        <c:axId val="234339328"/>
        <c:scaling>
          <c:orientation val="minMax"/>
        </c:scaling>
        <c:delete val="1"/>
        <c:axPos val="t"/>
        <c:numFmt formatCode="0%" sourceLinked="1"/>
        <c:majorTickMark val="none"/>
        <c:tickLblPos val="none"/>
        <c:crossAx val="234337408"/>
        <c:crosses val="autoZero"/>
        <c:crossBetween val="between"/>
      </c:valAx>
    </c:plotArea>
    <c:legend>
      <c:legendPos val="b"/>
      <c:layout/>
      <c:spPr>
        <a:ln>
          <a:solidFill>
            <a:sysClr val="window" lastClr="FFFFFF">
              <a:lumMod val="65000"/>
            </a:sysClr>
          </a:solidFill>
        </a:ln>
      </c:spPr>
      <c:txPr>
        <a:bodyPr/>
        <a:lstStyle/>
        <a:p>
          <a:pPr>
            <a:defRPr b="1"/>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l">
              <a:defRPr/>
            </a:pPr>
            <a:r>
              <a:rPr lang="en-US" sz="1000" b="1" i="0" baseline="0">
                <a:latin typeface="+mn-lt"/>
              </a:rPr>
              <a:t>Figure 9- Do you personally have/own any of the following to use or sell as you please?</a:t>
            </a:r>
            <a:br>
              <a:rPr lang="en-US" sz="1000" b="1" i="0" baseline="0">
                <a:latin typeface="+mn-lt"/>
              </a:rPr>
            </a:br>
            <a:r>
              <a:rPr lang="en-US" sz="1000" b="0" i="1" baseline="0">
                <a:latin typeface="+mn-lt"/>
              </a:rPr>
              <a:t>Percentage of currently or formerly married women responding "yes" by educational  attainment</a:t>
            </a:r>
          </a:p>
        </c:rich>
      </c:tx>
      <c:layout/>
      <c:spPr>
        <a:ln>
          <a:solidFill>
            <a:sysClr val="window" lastClr="FFFFFF">
              <a:lumMod val="65000"/>
            </a:sysClr>
          </a:solidFill>
        </a:ln>
      </c:spPr>
    </c:title>
    <c:plotArea>
      <c:layout>
        <c:manualLayout>
          <c:layoutTarget val="inner"/>
          <c:xMode val="edge"/>
          <c:yMode val="edge"/>
          <c:x val="3.2074646449920016E-2"/>
          <c:y val="0.17167705263835867"/>
          <c:w val="0.93585070710016061"/>
          <c:h val="0.40527768384780316"/>
        </c:manualLayout>
      </c:layout>
      <c:barChart>
        <c:barDir val="col"/>
        <c:grouping val="clustered"/>
        <c:ser>
          <c:idx val="0"/>
          <c:order val="0"/>
          <c:tx>
            <c:strRef>
              <c:f>Sheet1!$B$1</c:f>
              <c:strCache>
                <c:ptCount val="1"/>
                <c:pt idx="0">
                  <c:v>Financial savings </c:v>
                </c:pt>
              </c:strCache>
            </c:strRef>
          </c:tx>
          <c:spPr>
            <a:solidFill>
              <a:srgbClr val="C00000"/>
            </a:solidFill>
          </c:spPr>
          <c:dLbls>
            <c:dLbl>
              <c:idx val="0"/>
              <c:layout>
                <c:manualLayout>
                  <c:x val="6.6840898160817569E-18"/>
                  <c:y val="7.7709611451943147E-2"/>
                </c:manualLayout>
              </c:layout>
              <c:showVal val="1"/>
            </c:dLbl>
            <c:dLbl>
              <c:idx val="1"/>
              <c:layout>
                <c:manualLayout>
                  <c:x val="0"/>
                  <c:y val="7.7709611451943147E-2"/>
                </c:manualLayout>
              </c:layout>
              <c:showVal val="1"/>
            </c:dLbl>
            <c:dLbl>
              <c:idx val="2"/>
              <c:layout>
                <c:manualLayout>
                  <c:x val="0"/>
                  <c:y val="7.3619631901840885E-2"/>
                </c:manualLayout>
              </c:layout>
              <c:showVal val="1"/>
            </c:dLbl>
            <c:dLbl>
              <c:idx val="3"/>
              <c:layout>
                <c:manualLayout>
                  <c:x val="0"/>
                  <c:y val="7.3619631901840885E-2"/>
                </c:manualLayout>
              </c:layout>
              <c:showVal val="1"/>
            </c:dLbl>
            <c:dLbl>
              <c:idx val="4"/>
              <c:layout>
                <c:manualLayout>
                  <c:x val="-1.069454370573082E-16"/>
                  <c:y val="7.7709611451943147E-2"/>
                </c:manualLayout>
              </c:layout>
              <c:showVal val="1"/>
            </c:dLbl>
            <c:numFmt formatCode="0\%" sourceLinked="0"/>
            <c:txPr>
              <a:bodyPr/>
              <a:lstStyle/>
              <a:p>
                <a:pPr>
                  <a:defRPr sz="900" b="1">
                    <a:solidFill>
                      <a:schemeClr val="bg1"/>
                    </a:solidFill>
                  </a:defRPr>
                </a:pPr>
                <a:endParaRPr lang="en-US"/>
              </a:p>
            </c:txPr>
            <c:showVal val="1"/>
          </c:dLbls>
          <c:cat>
            <c:strRef>
              <c:f>Sheet1!$A$2:$A$6</c:f>
              <c:strCache>
                <c:ptCount val="5"/>
                <c:pt idx="0">
                  <c:v> &lt; Primary (n=161)</c:v>
                </c:pt>
                <c:pt idx="1">
                  <c:v>    Primary (n=337)</c:v>
                </c:pt>
                <c:pt idx="2">
                  <c:v>  Intermediate (n=352)</c:v>
                </c:pt>
                <c:pt idx="3">
                  <c:v>  Secondary (n=273)</c:v>
                </c:pt>
                <c:pt idx="4">
                  <c:v>  University or more (n=150)</c:v>
                </c:pt>
              </c:strCache>
            </c:strRef>
          </c:cat>
          <c:val>
            <c:numRef>
              <c:f>Sheet1!$B$2:$B$6</c:f>
              <c:numCache>
                <c:formatCode>0</c:formatCode>
                <c:ptCount val="5"/>
                <c:pt idx="0">
                  <c:v>13.66</c:v>
                </c:pt>
                <c:pt idx="1">
                  <c:v>13.06</c:v>
                </c:pt>
                <c:pt idx="2">
                  <c:v>20.170000000000005</c:v>
                </c:pt>
                <c:pt idx="3">
                  <c:v>32.720000000000013</c:v>
                </c:pt>
                <c:pt idx="4">
                  <c:v>48.67</c:v>
                </c:pt>
              </c:numCache>
            </c:numRef>
          </c:val>
        </c:ser>
        <c:ser>
          <c:idx val="1"/>
          <c:order val="1"/>
          <c:tx>
            <c:strRef>
              <c:f>Sheet1!$C$1</c:f>
              <c:strCache>
                <c:ptCount val="1"/>
                <c:pt idx="0">
                  <c:v>Land or an apartment or house with the title in your name </c:v>
                </c:pt>
              </c:strCache>
            </c:strRef>
          </c:tx>
          <c:spPr>
            <a:solidFill>
              <a:srgbClr val="F57E1B"/>
            </a:solidFill>
          </c:spPr>
          <c:dLbls>
            <c:dLbl>
              <c:idx val="0"/>
              <c:layout>
                <c:manualLayout>
                  <c:x val="0"/>
                  <c:y val="7.7709611451943147E-2"/>
                </c:manualLayout>
              </c:layout>
              <c:showVal val="1"/>
            </c:dLbl>
            <c:dLbl>
              <c:idx val="1"/>
              <c:layout>
                <c:manualLayout>
                  <c:x val="0"/>
                  <c:y val="7.3619631901840885E-2"/>
                </c:manualLayout>
              </c:layout>
              <c:showVal val="1"/>
            </c:dLbl>
            <c:dLbl>
              <c:idx val="2"/>
              <c:layout>
                <c:manualLayout>
                  <c:x val="0"/>
                  <c:y val="6.9529652351738414E-2"/>
                </c:manualLayout>
              </c:layout>
              <c:showVal val="1"/>
            </c:dLbl>
            <c:dLbl>
              <c:idx val="3"/>
              <c:layout>
                <c:manualLayout>
                  <c:x val="0"/>
                  <c:y val="6.9529652351738414E-2"/>
                </c:manualLayout>
              </c:layout>
              <c:showVal val="1"/>
            </c:dLbl>
            <c:dLbl>
              <c:idx val="4"/>
              <c:layout>
                <c:manualLayout>
                  <c:x val="2.9167274318214992E-3"/>
                  <c:y val="7.3619631901840885E-2"/>
                </c:manualLayout>
              </c:layout>
              <c:showVal val="1"/>
            </c:dLbl>
            <c:numFmt formatCode="0\%" sourceLinked="0"/>
            <c:txPr>
              <a:bodyPr/>
              <a:lstStyle/>
              <a:p>
                <a:pPr>
                  <a:defRPr sz="900" b="1">
                    <a:solidFill>
                      <a:schemeClr val="bg1"/>
                    </a:solidFill>
                  </a:defRPr>
                </a:pPr>
                <a:endParaRPr lang="en-US"/>
              </a:p>
            </c:txPr>
            <c:showVal val="1"/>
          </c:dLbls>
          <c:cat>
            <c:strRef>
              <c:f>Sheet1!$A$2:$A$6</c:f>
              <c:strCache>
                <c:ptCount val="5"/>
                <c:pt idx="0">
                  <c:v> &lt; Primary (n=161)</c:v>
                </c:pt>
                <c:pt idx="1">
                  <c:v>    Primary (n=337)</c:v>
                </c:pt>
                <c:pt idx="2">
                  <c:v>  Intermediate (n=352)</c:v>
                </c:pt>
                <c:pt idx="3">
                  <c:v>  Secondary (n=273)</c:v>
                </c:pt>
                <c:pt idx="4">
                  <c:v>  University or more (n=150)</c:v>
                </c:pt>
              </c:strCache>
            </c:strRef>
          </c:cat>
          <c:val>
            <c:numRef>
              <c:f>Sheet1!$C$2:$C$6</c:f>
              <c:numCache>
                <c:formatCode>0</c:formatCode>
                <c:ptCount val="5"/>
                <c:pt idx="0">
                  <c:v>14.29</c:v>
                </c:pt>
                <c:pt idx="1">
                  <c:v>14.54</c:v>
                </c:pt>
                <c:pt idx="2">
                  <c:v>20.45</c:v>
                </c:pt>
                <c:pt idx="3">
                  <c:v>25.64</c:v>
                </c:pt>
                <c:pt idx="4">
                  <c:v>39.33</c:v>
                </c:pt>
              </c:numCache>
            </c:numRef>
          </c:val>
        </c:ser>
        <c:ser>
          <c:idx val="2"/>
          <c:order val="2"/>
          <c:tx>
            <c:strRef>
              <c:f>Sheet1!$D$1</c:f>
              <c:strCache>
                <c:ptCount val="1"/>
                <c:pt idx="0">
                  <c:v>Other items of high value such as a car or jewelry</c:v>
                </c:pt>
              </c:strCache>
            </c:strRef>
          </c:tx>
          <c:spPr>
            <a:solidFill>
              <a:srgbClr val="002060"/>
            </a:solidFill>
          </c:spPr>
          <c:dLbls>
            <c:dLbl>
              <c:idx val="0"/>
              <c:layout>
                <c:manualLayout>
                  <c:x val="0"/>
                  <c:y val="7.3619631901840885E-2"/>
                </c:manualLayout>
              </c:layout>
              <c:showVal val="1"/>
            </c:dLbl>
            <c:dLbl>
              <c:idx val="1"/>
              <c:layout>
                <c:manualLayout>
                  <c:x val="0"/>
                  <c:y val="7.3619631901840885E-2"/>
                </c:manualLayout>
              </c:layout>
              <c:showVal val="1"/>
            </c:dLbl>
            <c:dLbl>
              <c:idx val="2"/>
              <c:layout>
                <c:manualLayout>
                  <c:x val="0"/>
                  <c:y val="7.3619631901840885E-2"/>
                </c:manualLayout>
              </c:layout>
              <c:showVal val="1"/>
            </c:dLbl>
            <c:dLbl>
              <c:idx val="3"/>
              <c:layout>
                <c:manualLayout>
                  <c:x val="0"/>
                  <c:y val="7.3619631901840912E-2"/>
                </c:manualLayout>
              </c:layout>
              <c:showVal val="1"/>
            </c:dLbl>
            <c:dLbl>
              <c:idx val="4"/>
              <c:layout>
                <c:manualLayout>
                  <c:x val="0"/>
                  <c:y val="7.7709611451943147E-2"/>
                </c:manualLayout>
              </c:layout>
              <c:showVal val="1"/>
            </c:dLbl>
            <c:numFmt formatCode="0\%" sourceLinked="0"/>
            <c:txPr>
              <a:bodyPr/>
              <a:lstStyle/>
              <a:p>
                <a:pPr>
                  <a:defRPr sz="900" b="1">
                    <a:solidFill>
                      <a:schemeClr val="bg1"/>
                    </a:solidFill>
                  </a:defRPr>
                </a:pPr>
                <a:endParaRPr lang="en-US"/>
              </a:p>
            </c:txPr>
            <c:showVal val="1"/>
          </c:dLbls>
          <c:cat>
            <c:strRef>
              <c:f>Sheet1!$A$2:$A$6</c:f>
              <c:strCache>
                <c:ptCount val="5"/>
                <c:pt idx="0">
                  <c:v> &lt; Primary (n=161)</c:v>
                </c:pt>
                <c:pt idx="1">
                  <c:v>    Primary (n=337)</c:v>
                </c:pt>
                <c:pt idx="2">
                  <c:v>  Intermediate (n=352)</c:v>
                </c:pt>
                <c:pt idx="3">
                  <c:v>  Secondary (n=273)</c:v>
                </c:pt>
                <c:pt idx="4">
                  <c:v>  University or more (n=150)</c:v>
                </c:pt>
              </c:strCache>
            </c:strRef>
          </c:cat>
          <c:val>
            <c:numRef>
              <c:f>Sheet1!$D$2:$D$6</c:f>
              <c:numCache>
                <c:formatCode>0</c:formatCode>
                <c:ptCount val="5"/>
                <c:pt idx="0">
                  <c:v>17.39</c:v>
                </c:pt>
                <c:pt idx="1">
                  <c:v>21.130000000000031</c:v>
                </c:pt>
                <c:pt idx="2">
                  <c:v>31.34</c:v>
                </c:pt>
                <c:pt idx="3">
                  <c:v>52.379999999999995</c:v>
                </c:pt>
                <c:pt idx="4">
                  <c:v>70.669999999999987</c:v>
                </c:pt>
              </c:numCache>
            </c:numRef>
          </c:val>
        </c:ser>
        <c:gapWidth val="75"/>
        <c:overlap val="-25"/>
        <c:axId val="239053824"/>
        <c:axId val="240505984"/>
      </c:barChart>
      <c:catAx>
        <c:axId val="239053824"/>
        <c:scaling>
          <c:orientation val="minMax"/>
        </c:scaling>
        <c:axPos val="b"/>
        <c:majorTickMark val="none"/>
        <c:tickLblPos val="nextTo"/>
        <c:txPr>
          <a:bodyPr/>
          <a:lstStyle/>
          <a:p>
            <a:pPr>
              <a:defRPr b="1"/>
            </a:pPr>
            <a:endParaRPr lang="en-US"/>
          </a:p>
        </c:txPr>
        <c:crossAx val="240505984"/>
        <c:crosses val="autoZero"/>
        <c:auto val="1"/>
        <c:lblAlgn val="ctr"/>
        <c:lblOffset val="100"/>
      </c:catAx>
      <c:valAx>
        <c:axId val="240505984"/>
        <c:scaling>
          <c:orientation val="minMax"/>
        </c:scaling>
        <c:delete val="1"/>
        <c:axPos val="l"/>
        <c:numFmt formatCode="0" sourceLinked="1"/>
        <c:tickLblPos val="none"/>
        <c:crossAx val="239053824"/>
        <c:crosses val="autoZero"/>
        <c:crossBetween val="between"/>
      </c:valAx>
    </c:plotArea>
    <c:legend>
      <c:legendPos val="b"/>
      <c:layout/>
      <c:spPr>
        <a:ln>
          <a:solidFill>
            <a:sysClr val="window" lastClr="FFFFFF">
              <a:lumMod val="65000"/>
            </a:sysClr>
          </a:solidFill>
        </a:ln>
      </c:spPr>
      <c:txPr>
        <a:bodyPr/>
        <a:lstStyle/>
        <a:p>
          <a:pPr>
            <a:defRPr b="1"/>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2010</PublishDate>
  <Abstract> A project by the International Foundation for Electoral Systems (IFES) and The Institute for Women’s Policy Research (IWPR) with funding from the Canadian International Development Agency (CIDA)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7608CFAA35644DB797843CF20EA459" ma:contentTypeVersion="0" ma:contentTypeDescription="Create a new document." ma:contentTypeScope="" ma:versionID="a45a8c4bfca27f19968e72491e75b7d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C42327-6703-40BE-B65C-48171009472B}">
  <ds:schemaRefs>
    <ds:schemaRef ds:uri="http://schemas.microsoft.com/sharepoint/v3/contenttype/forms"/>
  </ds:schemaRefs>
</ds:datastoreItem>
</file>

<file path=customXml/itemProps3.xml><?xml version="1.0" encoding="utf-8"?>
<ds:datastoreItem xmlns:ds="http://schemas.openxmlformats.org/officeDocument/2006/customXml" ds:itemID="{F3359562-472F-42A7-9322-6D1403ADD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56474A8-D357-46EA-9667-D7684C6034B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5.xml><?xml version="1.0" encoding="utf-8"?>
<ds:datastoreItem xmlns:ds="http://schemas.openxmlformats.org/officeDocument/2006/customXml" ds:itemID="{A9D68112-48FD-45EF-A123-1E033693D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1948</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The Status of Women in the Middle East and North Africa (SWMENA) Project</vt:lpstr>
    </vt:vector>
  </TitlesOfParts>
  <Company>Microsoft</Company>
  <LinksUpToDate>false</LinksUpToDate>
  <CharactersWithSpaces>13026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Status of Women in the Middle East and North Africa (SWMENA) Project</dc:title>
  <dc:subject>Focus on Lebanon | Control of Financial Assets          Topic Brief</dc:subject>
  <dc:creator>ychen</dc:creator>
  <cp:lastModifiedBy>lserpe</cp:lastModifiedBy>
  <cp:revision>4</cp:revision>
  <cp:lastPrinted>2010-03-30T15:00:00Z</cp:lastPrinted>
  <dcterms:created xsi:type="dcterms:W3CDTF">2010-04-05T20:18:00Z</dcterms:created>
  <dcterms:modified xsi:type="dcterms:W3CDTF">2010-04-06T21:09:00Z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0x010100757608CFAA35644DB797843CF20EA459</vt:lpwstr>
  </property>
</Properties>
</file>